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D79AC" w:rsidP="005D79AC" w:rsidRDefault="005D79AC" w14:paraId="0657D682" w14:textId="77777777"/>
    <w:p w:rsidRPr="002F194C" w:rsidR="005D79AC" w:rsidP="005D79AC" w:rsidRDefault="005D79AC" w14:paraId="72CCF458" w14:textId="77777777">
      <w:pPr>
        <w:pStyle w:val="Normal3"/>
        <w:jc w:val="center"/>
        <w:rPr>
          <w:rFonts w:ascii="Titillium Web" w:hAnsi="Titillium Web" w:cs="Times New Roman"/>
          <w:b/>
          <w:bCs/>
          <w:sz w:val="26"/>
          <w:szCs w:val="26"/>
          <w:u w:val="single"/>
        </w:rPr>
      </w:pPr>
      <w:r w:rsidRPr="002F194C">
        <w:rPr>
          <w:rFonts w:ascii="Titillium Web" w:hAnsi="Titillium Web" w:cs="Times New Roman"/>
          <w:b/>
          <w:bCs/>
          <w:sz w:val="26"/>
          <w:szCs w:val="26"/>
          <w:u w:val="single"/>
        </w:rPr>
        <w:t>REPORT CONTROLLO SU MILESTONE &amp; TARGET</w:t>
      </w:r>
    </w:p>
    <w:p w:rsidRPr="002F194C" w:rsidR="005D79AC" w:rsidP="005D79AC" w:rsidRDefault="005D79AC" w14:paraId="3BC6B9DF" w14:textId="77777777">
      <w:pPr>
        <w:pStyle w:val="Normal3"/>
        <w:jc w:val="center"/>
        <w:rPr>
          <w:rFonts w:ascii="Titillium Web" w:hAnsi="Titillium Web" w:cs="Times New Roman"/>
          <w:b/>
          <w:bCs/>
          <w:sz w:val="26"/>
          <w:szCs w:val="26"/>
          <w:u w:val="single"/>
        </w:rPr>
      </w:pPr>
      <w:r w:rsidRPr="002F194C">
        <w:rPr>
          <w:rFonts w:ascii="Titillium Web" w:hAnsi="Titillium Web" w:cs="Times New Roman"/>
          <w:b/>
          <w:bCs/>
          <w:sz w:val="26"/>
          <w:szCs w:val="26"/>
          <w:u w:val="single"/>
        </w:rPr>
        <w:t>ID controllo:</w:t>
      </w:r>
    </w:p>
    <w:p w:rsidRPr="002F194C" w:rsidR="005D79AC" w:rsidP="005D79AC" w:rsidRDefault="005D79AC" w14:paraId="51D57B0D" w14:textId="77777777">
      <w:pPr>
        <w:pStyle w:val="Normal3"/>
        <w:jc w:val="center"/>
        <w:rPr>
          <w:rFonts w:ascii="Titillium Web" w:hAnsi="Titillium Web" w:cs="Times New Roman"/>
          <w:b/>
          <w:sz w:val="26"/>
          <w:szCs w:val="26"/>
          <w:u w:val="single"/>
        </w:rPr>
      </w:pPr>
    </w:p>
    <w:tbl>
      <w:tblPr>
        <w:tblW w:w="7937" w:type="dxa"/>
        <w:jc w:val="right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7"/>
        <w:gridCol w:w="3402"/>
        <w:gridCol w:w="566"/>
        <w:gridCol w:w="3402"/>
      </w:tblGrid>
      <w:tr w:rsidRPr="002F194C" w:rsidR="005D79AC" w:rsidTr="00457309" w14:paraId="180A0A55" w14:textId="77777777">
        <w:trPr>
          <w:jc w:val="right"/>
        </w:trPr>
        <w:tc>
          <w:tcPr>
            <w:tcW w:w="56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05DE6FCD" w14:textId="77777777">
            <w:pPr>
              <w:pStyle w:val="Normal3"/>
              <w:widowControl w:val="0"/>
              <w:spacing w:after="0"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4173C94A" w14:textId="77777777">
            <w:pPr>
              <w:pStyle w:val="Normal3"/>
              <w:spacing w:after="0"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2F194C">
              <w:rPr>
                <w:rFonts w:ascii="Titillium Web" w:hAnsi="Titillium Web" w:cs="Times New Roman"/>
                <w:b/>
                <w:sz w:val="24"/>
                <w:szCs w:val="24"/>
              </w:rPr>
              <w:t>Report provvisorio</w:t>
            </w:r>
          </w:p>
        </w:tc>
        <w:tc>
          <w:tcPr>
            <w:tcW w:w="56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11FDF01B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cs="Times New Roman"/>
                <w:b/>
                <w:sz w:val="26"/>
                <w:szCs w:val="26"/>
              </w:rPr>
            </w:pPr>
          </w:p>
        </w:tc>
        <w:tc>
          <w:tcPr>
            <w:tcW w:w="3401" w:type="dxa"/>
            <w:tcBorders>
              <w:top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55F0F594" w14:textId="77777777">
            <w:pPr>
              <w:pStyle w:val="Normal3"/>
              <w:spacing w:after="0"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2F194C">
              <w:rPr>
                <w:rFonts w:ascii="Titillium Web" w:hAnsi="Titillium Web" w:cs="Times New Roman"/>
                <w:b/>
                <w:sz w:val="24"/>
                <w:szCs w:val="24"/>
              </w:rPr>
              <w:t>Report definitivo</w:t>
            </w:r>
          </w:p>
        </w:tc>
      </w:tr>
      <w:tr w:rsidRPr="002F194C" w:rsidR="005D79AC" w:rsidTr="00457309" w14:paraId="3284A338" w14:textId="77777777">
        <w:trPr>
          <w:trHeight w:val="416"/>
          <w:jc w:val="right"/>
        </w:trPr>
        <w:tc>
          <w:tcPr>
            <w:tcW w:w="566" w:type="dxa"/>
            <w:tcBorders>
              <w:left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543B1101" w14:textId="77777777">
            <w:pPr>
              <w:pStyle w:val="Normal3"/>
              <w:widowControl w:val="0"/>
              <w:spacing w:after="0" w:line="240" w:lineRule="auto"/>
              <w:rPr>
                <w:rFonts w:ascii="Titillium Web" w:hAnsi="Titillium Web" w:cs="Times New Roman"/>
                <w:b/>
                <w:sz w:val="2"/>
                <w:szCs w:val="2"/>
                <w:u w:val="single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7908410E" w14:textId="77777777">
            <w:pPr>
              <w:pStyle w:val="Normal3"/>
              <w:spacing w:after="0" w:line="240" w:lineRule="auto"/>
              <w:rPr>
                <w:rFonts w:ascii="Titillium Web" w:hAnsi="Titillium Web" w:cs="Times New Roman"/>
                <w:b/>
                <w:sz w:val="2"/>
                <w:szCs w:val="2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4CB4B34A" w14:textId="77777777">
            <w:pPr>
              <w:pStyle w:val="Normal3"/>
              <w:widowControl w:val="0"/>
              <w:spacing w:after="0" w:line="240" w:lineRule="auto"/>
              <w:rPr>
                <w:rFonts w:ascii="Titillium Web" w:hAnsi="Titillium Web" w:cs="Times New Roman"/>
                <w:b/>
                <w:sz w:val="2"/>
                <w:szCs w:val="2"/>
                <w:u w:val="single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4B4F0BCD" w14:textId="77777777">
            <w:pPr>
              <w:pStyle w:val="Normal3"/>
              <w:spacing w:after="0" w:line="240" w:lineRule="auto"/>
              <w:rPr>
                <w:rFonts w:ascii="Titillium Web" w:hAnsi="Titillium Web" w:cs="Times New Roman"/>
                <w:b/>
                <w:sz w:val="2"/>
                <w:szCs w:val="2"/>
              </w:rPr>
            </w:pPr>
          </w:p>
        </w:tc>
      </w:tr>
      <w:tr w:rsidRPr="002F194C" w:rsidR="005D79AC" w:rsidTr="00457309" w14:paraId="28A5B2B5" w14:textId="77777777">
        <w:trPr>
          <w:jc w:val="right"/>
        </w:trPr>
        <w:tc>
          <w:tcPr>
            <w:tcW w:w="56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25767CD4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4D9F908E" w14:textId="77777777">
            <w:pPr>
              <w:pStyle w:val="Normal3"/>
              <w:spacing w:after="0"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2F194C">
              <w:rPr>
                <w:rFonts w:ascii="Titillium Web" w:hAnsi="Titillium Web" w:cs="Times New Roman"/>
                <w:b/>
                <w:sz w:val="24"/>
                <w:szCs w:val="24"/>
              </w:rPr>
              <w:t>Controllo campionario</w:t>
            </w:r>
          </w:p>
        </w:tc>
        <w:tc>
          <w:tcPr>
            <w:tcW w:w="56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7D79729F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01" w:type="dxa"/>
            <w:tcBorders>
              <w:top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372F3233" w14:textId="77777777">
            <w:pPr>
              <w:pStyle w:val="Normal3"/>
              <w:spacing w:after="0"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2F194C">
              <w:rPr>
                <w:rFonts w:ascii="Titillium Web" w:hAnsi="Titillium Web" w:cs="Times New Roman"/>
                <w:b/>
                <w:sz w:val="24"/>
                <w:szCs w:val="24"/>
              </w:rPr>
              <w:t>Controllo 100%</w:t>
            </w:r>
          </w:p>
        </w:tc>
      </w:tr>
    </w:tbl>
    <w:p w:rsidRPr="002F194C" w:rsidR="005D79AC" w:rsidP="005D79AC" w:rsidRDefault="005D79AC" w14:paraId="77C59DF8" w14:textId="77777777">
      <w:pPr>
        <w:pStyle w:val="Normal3"/>
        <w:rPr>
          <w:rFonts w:ascii="Titillium Web" w:hAnsi="Titillium Web" w:cs="Times New Roman"/>
          <w:b/>
          <w:sz w:val="24"/>
          <w:szCs w:val="24"/>
        </w:rPr>
      </w:pPr>
    </w:p>
    <w:p w:rsidRPr="002F194C" w:rsidR="005D79AC" w:rsidP="005D79AC" w:rsidRDefault="005D79AC" w14:paraId="734A3996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hd w:val="clear" w:color="auto" w:fill="D9F2D0" w:themeFill="accent6" w:themeFillTint="33"/>
        <w:spacing w:after="0" w:line="240" w:lineRule="auto"/>
        <w:jc w:val="center"/>
        <w:rPr>
          <w:rFonts w:ascii="Titillium Web" w:hAnsi="Titillium Web" w:cs="Times New Roman"/>
          <w:b/>
          <w:bCs/>
          <w:sz w:val="28"/>
          <w:szCs w:val="28"/>
        </w:rPr>
      </w:pPr>
      <w:r w:rsidRPr="002F194C">
        <w:rPr>
          <w:rFonts w:ascii="Titillium Web" w:hAnsi="Titillium Web" w:cs="Times New Roman"/>
          <w:b/>
          <w:bCs/>
          <w:color w:val="000000" w:themeColor="text1"/>
          <w:sz w:val="28"/>
          <w:szCs w:val="28"/>
        </w:rPr>
        <w:t>DATA</w:t>
      </w:r>
    </w:p>
    <w:p w:rsidRPr="002F194C" w:rsidR="005D79AC" w:rsidP="005D79AC" w:rsidRDefault="005D79AC" w14:paraId="0190317F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360" w:lineRule="auto"/>
        <w:jc w:val="center"/>
        <w:rPr>
          <w:rFonts w:ascii="Titillium Web" w:hAnsi="Titillium Web" w:eastAsia="Times New Roman" w:cs="Times New Roman"/>
          <w:sz w:val="24"/>
          <w:szCs w:val="24"/>
        </w:rPr>
      </w:pPr>
    </w:p>
    <w:p w:rsidRPr="002F194C" w:rsidR="005D79AC" w:rsidP="005D79AC" w:rsidRDefault="005D79AC" w14:paraId="13C78E4F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after="0" w:line="240" w:lineRule="auto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2F194C">
        <w:rPr>
          <w:rFonts w:ascii="Titillium Web" w:hAnsi="Titillium Web" w:cs="Times New Roman"/>
          <w:b/>
          <w:bCs/>
          <w:sz w:val="28"/>
          <w:szCs w:val="28"/>
        </w:rPr>
        <w:t xml:space="preserve">SOGGETTO ATTUATORE/SOGGETTO SUB-ATTUATORE </w:t>
      </w:r>
      <w:r w:rsidRPr="002F194C">
        <w:rPr>
          <w:rFonts w:ascii="Titillium Web" w:hAnsi="Titillium Web" w:cs="Times New Roman"/>
          <w:b/>
          <w:bCs/>
          <w:color w:val="000000" w:themeColor="text1"/>
          <w:sz w:val="28"/>
          <w:szCs w:val="28"/>
        </w:rPr>
        <w:t>DELL’INTERVENTO</w:t>
      </w:r>
    </w:p>
    <w:p w:rsidRPr="002F194C" w:rsidR="005D79AC" w:rsidP="005D79AC" w:rsidRDefault="005D79AC" w14:paraId="69AB36E1" w14:textId="77777777">
      <w:pPr>
        <w:pStyle w:val="Normal3"/>
        <w:shd w:val="clear" w:color="auto" w:fill="FFFFFF" w:themeFill="background1"/>
        <w:spacing w:after="0" w:line="360" w:lineRule="auto"/>
        <w:jc w:val="center"/>
        <w:rPr>
          <w:rFonts w:ascii="Titillium Web" w:hAnsi="Titillium Web" w:eastAsia="Times New Roman" w:cs="Times New Roman"/>
          <w:i/>
          <w:iCs/>
          <w:sz w:val="24"/>
          <w:szCs w:val="24"/>
        </w:rPr>
      </w:pPr>
    </w:p>
    <w:p w:rsidRPr="002F194C" w:rsidR="005D79AC" w:rsidP="005D79AC" w:rsidRDefault="005D79AC" w14:paraId="68653455" w14:textId="77777777">
      <w:pPr>
        <w:pStyle w:val="Normal3"/>
        <w:shd w:val="clear" w:color="auto" w:fill="D9F2D0" w:themeFill="accent6" w:themeFillTint="33"/>
        <w:spacing w:after="0" w:line="240" w:lineRule="auto"/>
        <w:jc w:val="center"/>
        <w:rPr>
          <w:rFonts w:ascii="Titillium Web" w:hAnsi="Titillium Web" w:cs="Times New Roman"/>
          <w:b/>
          <w:bCs/>
          <w:sz w:val="28"/>
          <w:szCs w:val="28"/>
        </w:rPr>
      </w:pPr>
      <w:r w:rsidRPr="002F194C">
        <w:rPr>
          <w:rFonts w:ascii="Titillium Web" w:hAnsi="Titillium Web" w:cs="Times New Roman"/>
          <w:b/>
          <w:bCs/>
          <w:sz w:val="28"/>
          <w:szCs w:val="28"/>
        </w:rPr>
        <w:t>[Inserire se TARGET o MILESTONE]</w:t>
      </w:r>
    </w:p>
    <w:p w:rsidRPr="002F194C" w:rsidR="005D79AC" w:rsidP="005D79AC" w:rsidRDefault="005D79AC" w14:paraId="0D959A44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rFonts w:ascii="Titillium Web" w:hAnsi="Titillium Web" w:cs="Times New Roman"/>
          <w:b/>
          <w:i/>
          <w:color w:val="000000"/>
          <w:sz w:val="12"/>
          <w:szCs w:val="12"/>
          <w:highlight w:val="yellow"/>
          <w:u w:val="single"/>
        </w:rPr>
      </w:pPr>
    </w:p>
    <w:p w:rsidRPr="002F194C" w:rsidR="005D79AC" w:rsidP="005D79AC" w:rsidRDefault="005D79AC" w14:paraId="3F4BE012" w14:textId="77777777">
      <w:pPr>
        <w:pStyle w:val="Normal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56" w:lineRule="auto"/>
        <w:jc w:val="both"/>
        <w:rPr>
          <w:rFonts w:ascii="Titillium Web" w:hAnsi="Titillium Web" w:eastAsia="Times New Roman" w:cs="Times New Roman"/>
          <w:sz w:val="24"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 w:val="24"/>
          <w:szCs w:val="24"/>
        </w:rPr>
        <w:t xml:space="preserve">NUMERO SEQUENZIALE: </w:t>
      </w:r>
    </w:p>
    <w:p w:rsidRPr="002F194C" w:rsidR="005D79AC" w:rsidP="005D79AC" w:rsidRDefault="005D79AC" w14:paraId="5CDFE34F" w14:textId="77777777">
      <w:pPr>
        <w:pStyle w:val="Normal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56" w:lineRule="auto"/>
        <w:jc w:val="both"/>
        <w:rPr>
          <w:rFonts w:ascii="Titillium Web" w:hAnsi="Titillium Web" w:eastAsia="Times New Roman" w:cs="Times New Roman"/>
          <w:sz w:val="24"/>
          <w:szCs w:val="24"/>
        </w:rPr>
      </w:pPr>
      <w:bookmarkStart w:name="_heading=h.ca98emjesiam" w:id="0"/>
      <w:bookmarkEnd w:id="0"/>
      <w:r w:rsidRPr="002F194C">
        <w:rPr>
          <w:rFonts w:ascii="Titillium Web" w:hAnsi="Titillium Web" w:eastAsia="Times New Roman" w:cs="Times New Roman"/>
          <w:b/>
          <w:bCs/>
          <w:sz w:val="24"/>
          <w:szCs w:val="24"/>
        </w:rPr>
        <w:t xml:space="preserve">DENOMINAZIONE: </w:t>
      </w:r>
    </w:p>
    <w:p w:rsidRPr="002F194C" w:rsidR="005D79AC" w:rsidP="005D79AC" w:rsidRDefault="005D79AC" w14:paraId="14204690" w14:textId="77777777">
      <w:pPr>
        <w:pStyle w:val="Normal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56" w:lineRule="auto"/>
        <w:jc w:val="both"/>
        <w:rPr>
          <w:rFonts w:ascii="Titillium Web" w:hAnsi="Titillium Web" w:eastAsia="Times New Roman" w:cs="Times New Roman"/>
          <w:color w:val="000000"/>
          <w:sz w:val="24"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 w:val="24"/>
          <w:szCs w:val="24"/>
        </w:rPr>
        <w:t xml:space="preserve">SCADENZA PREVISTA DA CID: </w:t>
      </w:r>
    </w:p>
    <w:p w:rsidRPr="002F194C" w:rsidR="005D79AC" w:rsidP="005D79AC" w:rsidRDefault="005D79AC" w14:paraId="353FB544" w14:textId="77777777">
      <w:pPr>
        <w:pStyle w:val="Normal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56" w:lineRule="auto"/>
        <w:jc w:val="both"/>
        <w:rPr>
          <w:rFonts w:ascii="Titillium Web" w:hAnsi="Titillium Web" w:eastAsia="Times New Roman" w:cs="Times New Roman"/>
          <w:sz w:val="24"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 w:val="24"/>
          <w:szCs w:val="24"/>
        </w:rPr>
        <w:t xml:space="preserve">MISURA CORRELATA: </w:t>
      </w:r>
    </w:p>
    <w:p w:rsidRPr="002F194C" w:rsidR="005D79AC" w:rsidP="005D79AC" w:rsidRDefault="005D79AC" w14:paraId="6819B8F5" w14:textId="77777777">
      <w:pPr>
        <w:pStyle w:val="Normal3"/>
        <w:numPr>
          <w:ilvl w:val="0"/>
          <w:numId w:val="7"/>
        </w:numPr>
        <w:spacing w:after="0" w:line="256" w:lineRule="auto"/>
        <w:jc w:val="both"/>
        <w:rPr>
          <w:rFonts w:ascii="Titillium Web" w:hAnsi="Titillium Web" w:eastAsia="Times New Roman" w:cs="Times New Roman"/>
          <w:sz w:val="24"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 w:val="24"/>
          <w:szCs w:val="24"/>
        </w:rPr>
        <w:t>PROCEDURE OGGETTO DEL CONTROLLO:</w:t>
      </w:r>
      <w:r w:rsidRPr="002F194C">
        <w:rPr>
          <w:rFonts w:ascii="Titillium Web" w:hAnsi="Titillium Web" w:eastAsia="Times New Roman" w:cs="Times New Roman"/>
          <w:sz w:val="24"/>
          <w:szCs w:val="24"/>
        </w:rPr>
        <w:t xml:space="preserve"> </w:t>
      </w:r>
    </w:p>
    <w:p w:rsidRPr="002F194C" w:rsidR="005D79AC" w:rsidP="005D79AC" w:rsidRDefault="005D79AC" w14:paraId="3DD9853E" w14:textId="77777777">
      <w:pPr>
        <w:pStyle w:val="Normal3"/>
        <w:numPr>
          <w:ilvl w:val="0"/>
          <w:numId w:val="7"/>
        </w:numPr>
        <w:spacing w:after="0" w:line="256" w:lineRule="auto"/>
        <w:jc w:val="both"/>
        <w:rPr>
          <w:rFonts w:ascii="Titillium Web" w:hAnsi="Titillium Web" w:cs="Times New Roman"/>
        </w:rPr>
      </w:pPr>
      <w:r w:rsidRPr="002F194C">
        <w:rPr>
          <w:rFonts w:ascii="Titillium Web" w:hAnsi="Titillium Web" w:eastAsia="Times New Roman" w:cs="Times New Roman"/>
          <w:b/>
          <w:bCs/>
          <w:sz w:val="24"/>
          <w:szCs w:val="24"/>
        </w:rPr>
        <w:t>CUP:</w:t>
      </w:r>
      <w:r w:rsidRPr="002F194C">
        <w:rPr>
          <w:rFonts w:ascii="Titillium Web" w:hAnsi="Titillium Web" w:eastAsia="Times New Roman" w:cs="Times New Roman"/>
          <w:sz w:val="24"/>
          <w:szCs w:val="24"/>
        </w:rPr>
        <w:t xml:space="preserve"> </w:t>
      </w:r>
    </w:p>
    <w:p w:rsidRPr="002F194C" w:rsidR="005D79AC" w:rsidP="005D79AC" w:rsidRDefault="005D79AC" w14:paraId="5CD96720" w14:textId="77777777">
      <w:pPr>
        <w:pStyle w:val="Normal3"/>
        <w:numPr>
          <w:ilvl w:val="0"/>
          <w:numId w:val="7"/>
        </w:numPr>
        <w:spacing w:after="0" w:line="256" w:lineRule="auto"/>
        <w:jc w:val="both"/>
        <w:rPr>
          <w:rFonts w:ascii="Titillium Web" w:hAnsi="Titillium Web" w:cs="Times New Roman"/>
        </w:rPr>
      </w:pPr>
      <w:r w:rsidRPr="002F194C">
        <w:rPr>
          <w:rFonts w:ascii="Titillium Web" w:hAnsi="Titillium Web" w:eastAsia="Times New Roman" w:cs="Times New Roman"/>
          <w:b/>
          <w:bCs/>
          <w:sz w:val="24"/>
          <w:szCs w:val="24"/>
        </w:rPr>
        <w:t>CIG:</w:t>
      </w:r>
    </w:p>
    <w:p w:rsidRPr="002F194C" w:rsidR="005D79AC" w:rsidP="005D79AC" w:rsidRDefault="005D79AC" w14:paraId="1B561B08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pacing w:after="0" w:line="256" w:lineRule="auto"/>
        <w:ind w:left="720"/>
        <w:jc w:val="both"/>
        <w:rPr>
          <w:rFonts w:ascii="Titillium Web" w:hAnsi="Titillium Web" w:cs="Times New Roman"/>
          <w:b/>
          <w:sz w:val="24"/>
          <w:szCs w:val="24"/>
        </w:rPr>
      </w:pPr>
    </w:p>
    <w:p w:rsidRPr="002F194C" w:rsidR="005D79AC" w:rsidP="005D79AC" w:rsidRDefault="005D79AC" w14:paraId="5157C4AB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after="0" w:line="240" w:lineRule="auto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2F194C">
        <w:rPr>
          <w:rFonts w:ascii="Titillium Web" w:hAnsi="Titillium Web" w:cs="Times New Roman"/>
          <w:b/>
          <w:sz w:val="28"/>
          <w:szCs w:val="28"/>
        </w:rPr>
        <w:t>CONTENUTI DEL RAPPORTO</w:t>
      </w:r>
    </w:p>
    <w:p w:rsidRPr="002F194C" w:rsidR="005D79AC" w:rsidP="005D79AC" w:rsidRDefault="005D79AC" w14:paraId="2F20A7E4" w14:textId="77777777">
      <w:pPr>
        <w:pStyle w:val="Normal3"/>
        <w:jc w:val="both"/>
        <w:rPr>
          <w:rFonts w:ascii="Titillium Web" w:hAnsi="Titillium Web" w:cs="Times New Roman"/>
          <w:i/>
          <w:sz w:val="8"/>
          <w:szCs w:val="8"/>
        </w:rPr>
      </w:pPr>
    </w:p>
    <w:p w:rsidR="005D79AC" w:rsidP="005D79AC" w:rsidRDefault="005D79AC" w14:paraId="12D5B284" w14:textId="675DC8BB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tillium Web" w:hAnsi="Titillium Web" w:eastAsia="Times New Roman" w:cs="Times New Roman"/>
          <w:b/>
          <w:sz w:val="24"/>
          <w:szCs w:val="24"/>
        </w:rPr>
      </w:pPr>
      <w:r w:rsidRPr="002F194C">
        <w:rPr>
          <w:rFonts w:ascii="Titillium Web" w:hAnsi="Titillium Web" w:eastAsia="Times New Roman" w:cs="Times New Roman"/>
          <w:b/>
          <w:sz w:val="24"/>
          <w:szCs w:val="24"/>
        </w:rPr>
        <w:t>1. ASPETTI PRINCIPALI DELLA VERIFICA E MODALITA’ DI SVOLGIMENTO</w:t>
      </w:r>
    </w:p>
    <w:p w:rsidRPr="002F194C" w:rsidR="005D79AC" w:rsidP="005D79AC" w:rsidRDefault="005D79AC" w14:paraId="73A6F6FA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tillium Web" w:hAnsi="Titillium Web" w:eastAsia="Times New Roman" w:cs="Times New Roman"/>
          <w:b/>
          <w:sz w:val="24"/>
          <w:szCs w:val="24"/>
        </w:rPr>
      </w:pPr>
    </w:p>
    <w:p w:rsidRPr="002F194C" w:rsidR="005D79AC" w:rsidP="005D79AC" w:rsidRDefault="005D79AC" w14:paraId="2B2E3FE1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hAnsi="Titillium Web" w:eastAsia="Times New Roman" w:cs="Times New Roman"/>
          <w:sz w:val="24"/>
          <w:szCs w:val="24"/>
        </w:rPr>
      </w:pPr>
      <w:r w:rsidRPr="002F194C">
        <w:rPr>
          <w:rFonts w:ascii="Titillium Web" w:hAnsi="Titillium Web" w:eastAsia="Times New Roman" w:cs="Times New Roman"/>
          <w:b/>
          <w:sz w:val="24"/>
          <w:szCs w:val="24"/>
        </w:rPr>
        <w:t>1.1. Premessa</w:t>
      </w:r>
      <w:r w:rsidRPr="002F194C">
        <w:rPr>
          <w:rFonts w:ascii="Titillium Web" w:hAnsi="Titillium Web" w:eastAsia="Times New Roman" w:cs="Times New Roman"/>
          <w:sz w:val="24"/>
          <w:szCs w:val="24"/>
        </w:rPr>
        <w:t xml:space="preserve"> </w:t>
      </w:r>
    </w:p>
    <w:p w:rsidRPr="002F194C" w:rsidR="005D79AC" w:rsidP="005D79AC" w:rsidRDefault="005D79AC" w14:paraId="285570FC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 xml:space="preserve">Allo scopo di tutelare gli interessi finanziari dell’Unione europea e per garantire che l’utilizzo dei fondi in relazione alle misure sostenute dal PNRR sia conforme al diritto comunitario e nazionale applicabile, la </w:t>
      </w:r>
      <w:r w:rsidRPr="002F194C">
        <w:rPr>
          <w:rStyle w:val="normaltextrun"/>
          <w:rFonts w:ascii="Titillium Web" w:hAnsi="Titillium Web"/>
          <w:sz w:val="22"/>
          <w:szCs w:val="22"/>
        </w:rPr>
        <w:t>gestione di milestone e target (per brevità anche M&amp;T) è accompagnata da un efficiente sistema di controlli che tiene conto dei principi di semplificazione, efficacia e flessibilità.</w:t>
      </w:r>
    </w:p>
    <w:p w:rsidRPr="002F194C" w:rsidR="005D79AC" w:rsidP="005D79AC" w:rsidRDefault="005D79AC" w14:paraId="70DC29A4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  <w:r w:rsidRPr="002F194C">
        <w:rPr>
          <w:rStyle w:val="eop"/>
          <w:rFonts w:ascii="Titillium Web" w:hAnsi="Titillium Web"/>
          <w:sz w:val="22"/>
          <w:szCs w:val="22"/>
        </w:rPr>
        <w:t> </w:t>
      </w:r>
    </w:p>
    <w:p w:rsidRPr="002F194C" w:rsidR="005D79AC" w:rsidP="005D79AC" w:rsidRDefault="005D79AC" w14:paraId="49367E53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>A tal fine vengono svolti controlli sostanziali amministrativo documentali on-desk (accompagnati da eventuali approfondimenti on-field), al 100% o a campione, sulla regolarità delle procedure e delle spese rendicontate.</w:t>
      </w:r>
      <w:r w:rsidRPr="002F194C">
        <w:rPr>
          <w:rStyle w:val="eop"/>
          <w:rFonts w:ascii="Titillium Web" w:hAnsi="Titillium Web"/>
          <w:sz w:val="22"/>
          <w:szCs w:val="22"/>
        </w:rPr>
        <w:t> </w:t>
      </w:r>
    </w:p>
    <w:p w:rsidRPr="002F194C" w:rsidR="005D79AC" w:rsidP="005D79AC" w:rsidRDefault="005D79AC" w14:paraId="4A9918D5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</w:p>
    <w:p w:rsidRPr="002F194C" w:rsidR="005D79AC" w:rsidP="005D79AC" w:rsidRDefault="005D79AC" w14:paraId="6E5A85AF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>In particolare, detti controlli, realizzati presso i Servizi di Gestione o i Soggetti Attuatori (di seguito anche SA), sono finalizzati al riscontro di uno o più dei seguenti principali aspetti, applicabili in considerazione delle diverse tipologie di iniziative:</w:t>
      </w:r>
      <w:r w:rsidRPr="002F194C">
        <w:rPr>
          <w:rStyle w:val="eop"/>
          <w:rFonts w:ascii="Titillium Web" w:hAnsi="Titillium Web"/>
          <w:sz w:val="22"/>
          <w:szCs w:val="22"/>
        </w:rPr>
        <w:t> </w:t>
      </w:r>
    </w:p>
    <w:p w:rsidRPr="002F194C" w:rsidR="005D79AC" w:rsidP="005D79AC" w:rsidRDefault="005D79AC" w14:paraId="21C77067" w14:textId="77777777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color w:val="000000"/>
          <w:sz w:val="22"/>
          <w:szCs w:val="22"/>
        </w:rPr>
        <w:t>la correttezza e la conformità alla normativa di riferimento delle procedure di selezione (gara, affidamento, avvisi, bandi, ecc.) adottate per l’attuazione dell’intervento;</w:t>
      </w:r>
      <w:r w:rsidRPr="002F194C">
        <w:rPr>
          <w:rStyle w:val="eop"/>
          <w:rFonts w:ascii="Titillium Web" w:hAnsi="Titillium Web"/>
          <w:color w:val="000000"/>
          <w:sz w:val="22"/>
          <w:szCs w:val="22"/>
        </w:rPr>
        <w:t> </w:t>
      </w:r>
    </w:p>
    <w:p w:rsidRPr="002F194C" w:rsidR="005D79AC" w:rsidP="005D79AC" w:rsidRDefault="005D79AC" w14:paraId="7B2FF38F" w14:textId="77777777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color w:val="000000"/>
          <w:sz w:val="22"/>
          <w:szCs w:val="22"/>
        </w:rPr>
        <w:t>l’effettività, la legittimità e l’ammissibilità delle spese sostenute e rendicontate;</w:t>
      </w:r>
      <w:r w:rsidRPr="002F194C">
        <w:rPr>
          <w:rStyle w:val="eop"/>
          <w:rFonts w:ascii="Titillium Web" w:hAnsi="Titillium Web"/>
          <w:color w:val="000000"/>
          <w:sz w:val="22"/>
          <w:szCs w:val="22"/>
        </w:rPr>
        <w:t> </w:t>
      </w:r>
    </w:p>
    <w:p w:rsidRPr="002F194C" w:rsidR="005D79AC" w:rsidP="005D79AC" w:rsidRDefault="005D79AC" w14:paraId="799FB479" w14:textId="77777777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>la regolare applicazione delle procedure per l’adozione e rendicontazione dei costi in caso di Opzioni Semplificate in materia di Costi (OSC);</w:t>
      </w:r>
      <w:r w:rsidRPr="002F194C">
        <w:rPr>
          <w:rStyle w:val="eop"/>
          <w:rFonts w:ascii="Titillium Web" w:hAnsi="Titillium Web"/>
          <w:sz w:val="22"/>
          <w:szCs w:val="22"/>
        </w:rPr>
        <w:t> </w:t>
      </w:r>
    </w:p>
    <w:p w:rsidRPr="002F194C" w:rsidR="005D79AC" w:rsidP="005D79AC" w:rsidRDefault="005D79AC" w14:paraId="7EDB8C00" w14:textId="77777777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>il follow-up di eventuali azioni di miglioramento del sistema di controllo interno concordate con i Servizi di gestione.</w:t>
      </w:r>
      <w:r w:rsidRPr="002F194C">
        <w:rPr>
          <w:rStyle w:val="eop"/>
          <w:rFonts w:ascii="Titillium Web" w:hAnsi="Titillium Web"/>
          <w:sz w:val="22"/>
          <w:szCs w:val="22"/>
        </w:rPr>
        <w:t> </w:t>
      </w:r>
    </w:p>
    <w:p w:rsidRPr="002F194C" w:rsidR="005D79AC" w:rsidP="005D79AC" w:rsidRDefault="005D79AC" w14:paraId="4796DA8E" w14:textId="77777777">
      <w:pPr>
        <w:pStyle w:val="paragraph"/>
        <w:spacing w:before="0" w:beforeAutospacing="0" w:after="0" w:afterAutospacing="0"/>
        <w:ind w:left="1425"/>
        <w:jc w:val="both"/>
        <w:textAlignment w:val="baseline"/>
        <w:rPr>
          <w:rFonts w:ascii="Titillium Web" w:hAnsi="Titillium Web"/>
          <w:sz w:val="22"/>
          <w:szCs w:val="22"/>
        </w:rPr>
      </w:pPr>
      <w:r w:rsidRPr="002F194C">
        <w:rPr>
          <w:rStyle w:val="eop"/>
          <w:rFonts w:ascii="Titillium Web" w:hAnsi="Titillium Web"/>
          <w:sz w:val="22"/>
          <w:szCs w:val="22"/>
        </w:rPr>
        <w:t> </w:t>
      </w:r>
    </w:p>
    <w:p w:rsidRPr="002F194C" w:rsidR="005D79AC" w:rsidP="005D79AC" w:rsidRDefault="005D79AC" w14:paraId="014B4B7D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 xml:space="preserve">Inoltre, costituiscono obiettivo del controllo i seguenti aspetti: il rispetto dei principi trasversali (DNSH, tagging climatico e digitale, parità di genere, protezione e valorizzazione dei giovani, superamento dei divari territoriali ecc.) e di sana gestione finanziaria (assenza di conflitti di interesse, frodi e corruzione), così come disciplinati dalla normativa sovranazionale (Regolamento UE 2021/241 e Regolamento UE, </w:t>
      </w:r>
      <w:proofErr w:type="spellStart"/>
      <w:r w:rsidRPr="002F194C">
        <w:rPr>
          <w:rStyle w:val="normaltextrun"/>
          <w:rFonts w:ascii="Titillium Web" w:hAnsi="Titillium Web"/>
          <w:sz w:val="22"/>
          <w:szCs w:val="22"/>
        </w:rPr>
        <w:t>Euratom</w:t>
      </w:r>
      <w:proofErr w:type="spellEnd"/>
      <w:r w:rsidRPr="002F194C">
        <w:rPr>
          <w:rStyle w:val="normaltextrun"/>
          <w:rFonts w:ascii="Titillium Web" w:hAnsi="Titillium Web"/>
          <w:sz w:val="22"/>
          <w:szCs w:val="22"/>
        </w:rPr>
        <w:t xml:space="preserve"> 2018/1046); il divieto del doppio finanziamento; nonché la correttezza delle comunicazioni e pubblicazioni ai sensi della normativa comunitaria e nazionale di riferimento.</w:t>
      </w:r>
      <w:r w:rsidRPr="002F194C">
        <w:rPr>
          <w:rStyle w:val="eop"/>
          <w:rFonts w:ascii="Titillium Web" w:hAnsi="Titillium Web"/>
          <w:sz w:val="22"/>
          <w:szCs w:val="22"/>
        </w:rPr>
        <w:t> </w:t>
      </w:r>
    </w:p>
    <w:p w:rsidRPr="002F194C" w:rsidR="005D79AC" w:rsidP="005D79AC" w:rsidRDefault="005D79AC" w14:paraId="409B9BFA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</w:p>
    <w:p w:rsidR="005D79AC" w:rsidP="005D79AC" w:rsidRDefault="005D79AC" w14:paraId="2CBBAE0C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>Limitatamente ai controlli sostanziali di M&amp;T, finalizzati a garantire l’assenza di gravi irregolarità nelle procedure e a verificare la “presenza di idonea e conforme documentazione a supporto dei valori di M&amp;T rendicontate nonché di tutte le condizionalità associate”, il controllo riguarda di norma il 100% delle operazioni; purtuttavia, il Servizio per il circuito finanziario la rendicontazione e il controllo (di seguito Servizio 3) può procedere al campionamento qualora le attività di verifica risultassero non sostenibili in quanto troppo onerose sia a livello di numerosità che di complessità degli elementi oggetto di controllo.</w:t>
      </w:r>
    </w:p>
    <w:p w:rsidR="005D79AC" w:rsidP="005D79AC" w:rsidRDefault="005D79AC" w14:paraId="3710DAB3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</w:p>
    <w:p w:rsidR="005D79AC" w:rsidP="005D79AC" w:rsidRDefault="005D79AC" w14:paraId="1CA2E4CA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</w:p>
    <w:p w:rsidRPr="00442EDA" w:rsidR="005D79AC" w:rsidP="005D79AC" w:rsidRDefault="005D79AC" w14:paraId="302FD21B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</w:p>
    <w:p w:rsidRPr="002F194C" w:rsidR="005D79AC" w:rsidP="005D79AC" w:rsidRDefault="005D79AC" w14:paraId="359C1C8B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hAnsi="Titillium Web" w:eastAsia="Times New Roman" w:cs="Times New Roman"/>
          <w:sz w:val="24"/>
          <w:szCs w:val="24"/>
        </w:rPr>
      </w:pPr>
      <w:r w:rsidRPr="002F194C">
        <w:rPr>
          <w:rFonts w:ascii="Titillium Web" w:hAnsi="Titillium Web" w:eastAsia="Times New Roman" w:cs="Times New Roman"/>
          <w:b/>
          <w:sz w:val="24"/>
          <w:szCs w:val="24"/>
        </w:rPr>
        <w:t xml:space="preserve">1.2. Ambito e contesto di riferimento </w:t>
      </w:r>
    </w:p>
    <w:p w:rsidRPr="002F194C" w:rsidR="005D79AC" w:rsidP="005D79AC" w:rsidRDefault="005D79AC" w14:paraId="40FFC5F4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>Le verifiche amministrativo-contabili on-desk/on-field e le pertinenti attività di controllo, sono affidate al Servizio 3, Unità 3.3, e ripartite al suo interno tra i componenti degli appositi Team di controllo (di seguito Team) preposti all’attività in oggetto. </w:t>
      </w:r>
    </w:p>
    <w:p w:rsidRPr="002F194C" w:rsidR="005D79AC" w:rsidP="005D79AC" w:rsidRDefault="005D79AC" w14:paraId="2F5A0A18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</w:p>
    <w:p w:rsidRPr="002F194C" w:rsidR="005D79AC" w:rsidP="005D79AC" w:rsidRDefault="005D79AC" w14:paraId="2C41F623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 xml:space="preserve">Terminate le procedure preliminari all’attività di controllo (ad es. verbale di estrazione del campione e comunicazione della lettera avvio verifiche), sulla base della documentazione reperita tramite </w:t>
      </w:r>
      <w:proofErr w:type="spellStart"/>
      <w:r w:rsidRPr="002F194C">
        <w:rPr>
          <w:rStyle w:val="normaltextrun"/>
          <w:rFonts w:ascii="Titillium Web" w:hAnsi="Titillium Web"/>
          <w:sz w:val="22"/>
          <w:szCs w:val="22"/>
        </w:rPr>
        <w:t>ReGiS</w:t>
      </w:r>
      <w:proofErr w:type="spellEnd"/>
      <w:r w:rsidRPr="002F194C">
        <w:rPr>
          <w:rStyle w:val="normaltextrun"/>
          <w:rFonts w:ascii="Titillium Web" w:hAnsi="Titillium Web"/>
          <w:sz w:val="22"/>
          <w:szCs w:val="22"/>
        </w:rPr>
        <w:t xml:space="preserve"> o il repository digitale dell’</w:t>
      </w:r>
      <w:proofErr w:type="spellStart"/>
      <w:r w:rsidRPr="002F194C">
        <w:rPr>
          <w:rStyle w:val="normaltextrun"/>
          <w:rFonts w:ascii="Titillium Web" w:hAnsi="Titillium Web"/>
          <w:sz w:val="22"/>
          <w:szCs w:val="22"/>
        </w:rPr>
        <w:t>UdM</w:t>
      </w:r>
      <w:proofErr w:type="spellEnd"/>
      <w:r w:rsidRPr="002F194C">
        <w:rPr>
          <w:rStyle w:val="normaltextrun"/>
          <w:rFonts w:ascii="Titillium Web" w:hAnsi="Titillium Web"/>
          <w:sz w:val="22"/>
          <w:szCs w:val="22"/>
        </w:rPr>
        <w:t xml:space="preserve"> ed eventualmente integrata dal competente Servizio di Gestione ovvero sulla base della documentazione fornita su richiesta dal Soggetto attuatore o sub-attuatore, il Team procede alla compilazione delle apposite Check-list finalizzate ad accertare i punti di controllo come descritti in precedenza. Al termine della compilazione delle Check-list, il Team procede all’analisi delle risultanze mediante la predisposizione di un report provvisorio e/o definitivo. </w:t>
      </w:r>
    </w:p>
    <w:p w:rsidRPr="002F194C" w:rsidR="005D79AC" w:rsidP="005D79AC" w:rsidRDefault="005D79AC" w14:paraId="798C7820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</w:p>
    <w:p w:rsidR="005D79AC" w:rsidP="005D79AC" w:rsidRDefault="005D79AC" w14:paraId="1CE9548B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 xml:space="preserve">Il Team di controllo preposto all’attività di cui al presente report è composto da: </w:t>
      </w:r>
      <w:r w:rsidRPr="002F194C">
        <w:rPr>
          <w:rStyle w:val="normaltextrun"/>
          <w:rFonts w:ascii="Titillium Web" w:hAnsi="Titillium Web"/>
          <w:sz w:val="22"/>
          <w:szCs w:val="22"/>
          <w:highlight w:val="lightGray"/>
        </w:rPr>
        <w:t xml:space="preserve">[inserire </w:t>
      </w:r>
      <w:proofErr w:type="gramStart"/>
      <w:r w:rsidRPr="002F194C">
        <w:rPr>
          <w:rStyle w:val="normaltextrun"/>
          <w:rFonts w:ascii="Titillium Web" w:hAnsi="Titillium Web"/>
          <w:sz w:val="22"/>
          <w:szCs w:val="22"/>
          <w:highlight w:val="lightGray"/>
        </w:rPr>
        <w:t>nominativi team</w:t>
      </w:r>
      <w:proofErr w:type="gramEnd"/>
      <w:r w:rsidRPr="002F194C">
        <w:rPr>
          <w:rStyle w:val="normaltextrun"/>
          <w:rFonts w:ascii="Titillium Web" w:hAnsi="Titillium Web"/>
          <w:sz w:val="22"/>
          <w:szCs w:val="22"/>
          <w:highlight w:val="lightGray"/>
        </w:rPr>
        <w:t xml:space="preserve"> di controllo]</w:t>
      </w:r>
      <w:r w:rsidRPr="002F194C">
        <w:rPr>
          <w:rStyle w:val="normaltextrun"/>
          <w:rFonts w:ascii="Titillium Web" w:hAnsi="Titillium Web"/>
          <w:sz w:val="22"/>
          <w:szCs w:val="22"/>
        </w:rPr>
        <w:t>. Tutti i membri del Team hanno rilasciato apposita DSAN sulla insussistenza di conflitto di interessi.</w:t>
      </w:r>
    </w:p>
    <w:p w:rsidRPr="002F194C" w:rsidR="005D79AC" w:rsidP="005D79AC" w:rsidRDefault="005D79AC" w14:paraId="3E5D2825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</w:p>
    <w:p w:rsidRPr="002F194C" w:rsidR="005D79AC" w:rsidP="005D79AC" w:rsidRDefault="005D79AC" w14:paraId="16D9F081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hAnsi="Titillium Web" w:eastAsia="Times New Roman" w:cs="Times New Roman"/>
          <w:sz w:val="24"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 w:val="24"/>
          <w:szCs w:val="24"/>
        </w:rPr>
        <w:t>1.3. La selezione della procedura oggetto di controllo: la metodologia applicata al Target</w:t>
      </w:r>
    </w:p>
    <w:p w:rsidRPr="002F194C" w:rsidR="005D79AC" w:rsidP="005D79AC" w:rsidRDefault="005D79AC" w14:paraId="41EC4F44" w14:textId="77777777">
      <w:pPr>
        <w:spacing w:line="256" w:lineRule="auto"/>
        <w:jc w:val="both"/>
        <w:rPr>
          <w:rFonts w:ascii="Titillium Web" w:hAnsi="Titillium Web" w:eastAsia="Times New Roman" w:cs="Times New Roman"/>
        </w:rPr>
      </w:pPr>
      <w:r w:rsidRPr="002F194C">
        <w:rPr>
          <w:rFonts w:ascii="Titillium Web" w:hAnsi="Titillium Web" w:eastAsia="Times New Roman" w:cs="Times New Roman"/>
        </w:rPr>
        <w:t>Il Servizio 3 procede al campionamento secondo la propria metodologia che prevede:</w:t>
      </w:r>
    </w:p>
    <w:p w:rsidRPr="002F194C" w:rsidR="005D79AC" w:rsidP="005D79AC" w:rsidRDefault="005D79AC" w14:paraId="21A9CBB5" w14:textId="77777777">
      <w:pPr>
        <w:pStyle w:val="Paragrafoelenco"/>
        <w:numPr>
          <w:ilvl w:val="0"/>
          <w:numId w:val="8"/>
        </w:numPr>
        <w:spacing w:before="0" w:after="200" w:line="256" w:lineRule="auto"/>
        <w:ind w:left="851" w:hanging="425"/>
        <w:jc w:val="both"/>
        <w:rPr>
          <w:rFonts w:ascii="Titillium Web" w:hAnsi="Titillium Web" w:eastAsia="Times New Roman" w:cs="Times New Roman"/>
        </w:rPr>
      </w:pPr>
      <w:r w:rsidRPr="002F194C">
        <w:rPr>
          <w:rFonts w:ascii="Titillium Web" w:hAnsi="Titillium Web" w:eastAsia="Times New Roman" w:cs="Times New Roman"/>
        </w:rPr>
        <w:t>l’acquisizione da parte dell’Unità 3.3 dell’universo delle operazioni da campionare;</w:t>
      </w:r>
    </w:p>
    <w:p w:rsidRPr="002F194C" w:rsidR="005D79AC" w:rsidP="005D79AC" w:rsidRDefault="005D79AC" w14:paraId="09F896BB" w14:textId="77777777">
      <w:pPr>
        <w:pStyle w:val="Paragrafoelenco"/>
        <w:numPr>
          <w:ilvl w:val="0"/>
          <w:numId w:val="8"/>
        </w:numPr>
        <w:spacing w:before="0" w:after="200" w:line="256" w:lineRule="auto"/>
        <w:ind w:left="851" w:hanging="425"/>
        <w:jc w:val="both"/>
        <w:rPr>
          <w:rFonts w:ascii="Titillium Web" w:hAnsi="Titillium Web" w:eastAsia="Times New Roman" w:cs="Times New Roman"/>
        </w:rPr>
      </w:pPr>
      <w:r w:rsidRPr="002F194C">
        <w:rPr>
          <w:rFonts w:ascii="Titillium Web" w:hAnsi="Titillium Web" w:eastAsia="Times New Roman" w:cs="Times New Roman"/>
        </w:rPr>
        <w:t>l’eventuale analisi dei rischi, ossia l’identificazione dei fattori di rischio e la loro espressione in termini di indicatori oggettivi, sulla base dei quali determinare l’ampiezza del campione da estrarre;</w:t>
      </w:r>
    </w:p>
    <w:p w:rsidRPr="002F194C" w:rsidR="005D79AC" w:rsidP="005D79AC" w:rsidRDefault="005D79AC" w14:paraId="20BB2B59" w14:textId="77777777">
      <w:pPr>
        <w:pStyle w:val="Paragrafoelenco"/>
        <w:numPr>
          <w:ilvl w:val="0"/>
          <w:numId w:val="8"/>
        </w:numPr>
        <w:spacing w:before="0" w:after="160" w:line="256" w:lineRule="auto"/>
        <w:ind w:left="851" w:hanging="425"/>
        <w:jc w:val="both"/>
        <w:rPr>
          <w:rFonts w:ascii="Titillium Web" w:hAnsi="Titillium Web" w:eastAsia="Times New Roman" w:cs="Times New Roman"/>
        </w:rPr>
      </w:pPr>
      <w:r w:rsidRPr="002F194C">
        <w:rPr>
          <w:rFonts w:ascii="Titillium Web" w:hAnsi="Titillium Web" w:eastAsia="Times New Roman" w:cs="Times New Roman"/>
        </w:rPr>
        <w:t>la definizione di un metodo di estrazione del campione statistico oppure discrezionale.</w:t>
      </w:r>
    </w:p>
    <w:p w:rsidR="005D79AC" w:rsidP="005D79AC" w:rsidRDefault="005D79AC" w14:paraId="477ABDA3" w14:textId="77777777">
      <w:pPr>
        <w:ind w:left="-20" w:right="-20"/>
        <w:jc w:val="both"/>
        <w:rPr>
          <w:rFonts w:ascii="Titillium Web" w:hAnsi="Titillium Web" w:eastAsia="Times New Roman" w:cs="Times New Roman"/>
        </w:rPr>
      </w:pPr>
      <w:r w:rsidRPr="002F194C">
        <w:rPr>
          <w:rStyle w:val="normaltextrun"/>
          <w:rFonts w:ascii="Titillium Web" w:hAnsi="Titillium Web" w:eastAsia="Times New Roman" w:cs="Times New Roman"/>
        </w:rPr>
        <w:t>Te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>nuto conto della popolazione costituente l’universo ed in coerenza con le modalità previste nella</w:t>
      </w:r>
      <w:r w:rsidRPr="002F194C">
        <w:rPr>
          <w:rStyle w:val="normaltextrun"/>
          <w:rFonts w:ascii="Times New Roman" w:hAnsi="Times New Roman" w:cs="Times New Roman"/>
          <w:color w:val="000000"/>
          <w:shd w:val="clear" w:color="auto" w:fill="FFFFFF"/>
        </w:rPr>
        <w:t> 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 xml:space="preserve"> vigente versione del </w:t>
      </w:r>
      <w:r w:rsidRPr="002F194C">
        <w:rPr>
          <w:rStyle w:val="normaltextrun"/>
          <w:rFonts w:ascii="Titillium Web" w:hAnsi="Titillium Web" w:cs="Titillium Web"/>
          <w:color w:val="000000"/>
          <w:shd w:val="clear" w:color="auto" w:fill="FFFFFF"/>
        </w:rPr>
        <w:t>“</w:t>
      </w:r>
      <w:r w:rsidRPr="002F194C">
        <w:rPr>
          <w:rStyle w:val="normaltextrun"/>
          <w:rFonts w:ascii="Titillium Web" w:hAnsi="Titillium Web" w:cs="Times New Roman"/>
          <w:i/>
          <w:iCs/>
          <w:color w:val="000000"/>
          <w:shd w:val="clear" w:color="auto" w:fill="FFFFFF"/>
        </w:rPr>
        <w:t>Manuale dei Controlli per le verifiche sulle operazioni e a supporto della</w:t>
      </w:r>
      <w:r w:rsidRPr="002F194C">
        <w:rPr>
          <w:rStyle w:val="normaltextrun"/>
          <w:rFonts w:ascii="Times New Roman" w:hAnsi="Times New Roman" w:cs="Times New Roman"/>
          <w:i/>
          <w:iCs/>
          <w:color w:val="000000"/>
          <w:shd w:val="clear" w:color="auto" w:fill="FFFFFF"/>
        </w:rPr>
        <w:t> </w:t>
      </w:r>
      <w:r w:rsidRPr="002F194C">
        <w:rPr>
          <w:rStyle w:val="normaltextrun"/>
          <w:rFonts w:ascii="Titillium Web" w:hAnsi="Titillium Web" w:cs="Times New Roman"/>
          <w:i/>
          <w:iCs/>
          <w:color w:val="000000"/>
          <w:shd w:val="clear" w:color="auto" w:fill="FFFFFF"/>
        </w:rPr>
        <w:t xml:space="preserve"> rendicontazione semestrale di Milestone e Target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 xml:space="preserve">” allegato alla versione 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 xml:space="preserve">[inserire versione vigente del </w:t>
      </w:r>
      <w:proofErr w:type="spellStart"/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>Si.Ge.Co</w:t>
      </w:r>
      <w:proofErr w:type="spellEnd"/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>.]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 xml:space="preserve"> del </w:t>
      </w:r>
      <w:proofErr w:type="spellStart"/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>Si.Ge.Co</w:t>
      </w:r>
      <w:proofErr w:type="spellEnd"/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 xml:space="preserve">., sarà sottoposta al controllo amministrativo-contabile la procedura campionata così come da Verbale di 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>[inserire se campionamento o selezione]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 xml:space="preserve"> Codice 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>[inserire Codice verbale di campionamento/selezione]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>.</w:t>
      </w:r>
      <w:r w:rsidRPr="002F194C">
        <w:rPr>
          <w:rFonts w:ascii="Titillium Web" w:hAnsi="Titillium Web" w:eastAsia="Times New Roman" w:cs="Times New Roman"/>
          <w:bCs/>
        </w:rPr>
        <w:t>.</w:t>
      </w:r>
    </w:p>
    <w:p w:rsidRPr="002F194C" w:rsidR="005D79AC" w:rsidP="005D79AC" w:rsidRDefault="005D79AC" w14:paraId="4AC9FAEB" w14:textId="77777777">
      <w:pPr>
        <w:ind w:left="-20" w:right="-20"/>
        <w:jc w:val="both"/>
        <w:rPr>
          <w:rFonts w:ascii="Titillium Web" w:hAnsi="Titillium Web" w:eastAsia="Times New Roman" w:cs="Times New Roman"/>
        </w:rPr>
      </w:pPr>
    </w:p>
    <w:p w:rsidRPr="002F194C" w:rsidR="005D79AC" w:rsidP="005D79AC" w:rsidRDefault="005D79AC" w14:paraId="41ABE801" w14:textId="77777777">
      <w:pPr>
        <w:ind w:left="-20" w:right="-20"/>
        <w:jc w:val="both"/>
        <w:rPr>
          <w:rFonts w:ascii="Titillium Web" w:hAnsi="Titillium Web" w:eastAsia="Times New Roman" w:cs="Times New Roman"/>
        </w:rPr>
      </w:pPr>
    </w:p>
    <w:p w:rsidRPr="002F194C" w:rsidR="005D79AC" w:rsidP="005D79AC" w:rsidRDefault="005D79AC" w14:paraId="7AF05802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hAnsi="Titillium Web" w:eastAsia="Times New Roman" w:cs="Times New Roman"/>
          <w:sz w:val="24"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 w:val="24"/>
          <w:szCs w:val="24"/>
        </w:rPr>
        <w:t>1.4. Svolgimento del controllo</w:t>
      </w:r>
      <w:r w:rsidRPr="002F194C">
        <w:rPr>
          <w:rFonts w:ascii="Titillium Web" w:hAnsi="Titillium Web" w:eastAsia="Times New Roman" w:cs="Times New Roman"/>
          <w:sz w:val="24"/>
          <w:szCs w:val="24"/>
        </w:rPr>
        <w:t xml:space="preserve"> </w:t>
      </w:r>
    </w:p>
    <w:p w:rsidRPr="002F194C" w:rsidR="005D79AC" w:rsidP="005D79AC" w:rsidRDefault="005D79AC" w14:paraId="716D4946" w14:textId="77777777">
      <w:pPr>
        <w:ind w:left="-20" w:right="-20"/>
        <w:jc w:val="both"/>
        <w:rPr>
          <w:rStyle w:val="eop"/>
          <w:rFonts w:ascii="Titillium Web" w:hAnsi="Titillium Web" w:cs="Times New Roman"/>
          <w:color w:val="000000"/>
          <w:shd w:val="clear" w:color="auto" w:fill="FFFFFF"/>
        </w:rPr>
      </w:pP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>Con lettera di annuncio avente ad oggetto “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>[</w:t>
      </w:r>
      <w:r w:rsidRPr="002F194C">
        <w:rPr>
          <w:rStyle w:val="normaltextrun"/>
          <w:rFonts w:ascii="Titillium Web" w:hAnsi="Titillium Web" w:cs="Times New Roman"/>
          <w:i/>
          <w:iCs/>
          <w:color w:val="000000"/>
          <w:shd w:val="clear" w:color="auto" w:fill="C0C0C0"/>
        </w:rPr>
        <w:t>inserire oggetto lettera di annuncio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>]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 xml:space="preserve">” Prot. 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>[inserire n. prot. lettera di annuncio]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 xml:space="preserve">, la Coordinatrice del Servizio 3 </w:t>
      </w:r>
      <w:r w:rsidRPr="002F194C">
        <w:rPr>
          <w:rFonts w:ascii="Titillium Web" w:hAnsi="Titillium Web" w:eastAsia="Times New Roman" w:cs="Times New Roman"/>
        </w:rPr>
        <w:t>ha annunciato al Soggetto attuatore e, per conoscenza, al Coordinatore del Servizio di gestione e di monitoraggio n. 2, l’avvio delle attività di controllo, comunicando contestualmente la composizione del Team di controllo.</w:t>
      </w:r>
      <w:r w:rsidRPr="002F194C">
        <w:rPr>
          <w:rStyle w:val="eop"/>
          <w:rFonts w:ascii="Titillium Web" w:hAnsi="Titillium Web" w:cs="Times New Roman"/>
          <w:color w:val="000000"/>
          <w:shd w:val="clear" w:color="auto" w:fill="FFFFFF"/>
        </w:rPr>
        <w:t> </w:t>
      </w:r>
    </w:p>
    <w:p w:rsidRPr="002F194C" w:rsidR="005D79AC" w:rsidP="005D79AC" w:rsidRDefault="005D79AC" w14:paraId="08A0E8B6" w14:textId="77777777">
      <w:pPr>
        <w:ind w:left="-20" w:right="-20"/>
        <w:jc w:val="both"/>
        <w:rPr>
          <w:rStyle w:val="eop"/>
          <w:rFonts w:ascii="Titillium Web" w:hAnsi="Titillium Web" w:cs="Times New Roman"/>
          <w:color w:val="000000"/>
          <w:shd w:val="clear" w:color="auto" w:fill="FFFFFF"/>
        </w:rPr>
      </w:pPr>
    </w:p>
    <w:p w:rsidR="005D79AC" w:rsidP="005D79AC" w:rsidRDefault="005D79AC" w14:paraId="200C3F59" w14:textId="77777777">
      <w:pPr>
        <w:ind w:left="-20" w:right="-20"/>
        <w:jc w:val="both"/>
        <w:rPr>
          <w:rFonts w:ascii="Titillium Web" w:hAnsi="Titillium Web" w:eastAsia="Times New Roman" w:cs="Times New Roman"/>
        </w:rPr>
      </w:pPr>
      <w:r w:rsidRPr="002F194C">
        <w:rPr>
          <w:rFonts w:ascii="Titillium Web" w:hAnsi="Titillium Web" w:eastAsia="Times New Roman" w:cs="Times New Roman"/>
        </w:rPr>
        <w:t>La documentazione relativa all’accordo, già agli atti dell’</w:t>
      </w:r>
      <w:proofErr w:type="spellStart"/>
      <w:r w:rsidRPr="002F194C">
        <w:rPr>
          <w:rFonts w:ascii="Titillium Web" w:hAnsi="Titillium Web" w:eastAsia="Times New Roman" w:cs="Times New Roman"/>
        </w:rPr>
        <w:t>UdM</w:t>
      </w:r>
      <w:proofErr w:type="spellEnd"/>
      <w:r w:rsidRPr="002F194C">
        <w:rPr>
          <w:rFonts w:ascii="Titillium Web" w:hAnsi="Titillium Web" w:eastAsia="Times New Roman" w:cs="Times New Roman"/>
        </w:rPr>
        <w:t xml:space="preserve"> DTD, è stata utilizzata per l’effettuazione delle attività di controllo sulla procedura attraverso l’applicazione dell’apposita Check-list.  </w:t>
      </w:r>
      <w:bookmarkStart w:name="_heading=h.rl38mvpiynn" w:id="1"/>
      <w:bookmarkEnd w:id="1"/>
    </w:p>
    <w:p w:rsidRPr="002F194C" w:rsidR="005D79AC" w:rsidP="005D79AC" w:rsidRDefault="005D79AC" w14:paraId="10E6F9C6" w14:textId="77777777">
      <w:pPr>
        <w:ind w:left="-20" w:right="-20"/>
        <w:jc w:val="both"/>
        <w:rPr>
          <w:rFonts w:ascii="Titillium Web" w:hAnsi="Titillium Web" w:eastAsia="Times New Roman" w:cs="Times New Roman"/>
        </w:rPr>
      </w:pPr>
    </w:p>
    <w:p w:rsidRPr="002F194C" w:rsidR="005D79AC" w:rsidP="005D79AC" w:rsidRDefault="005D79AC" w14:paraId="0808DC80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hAnsi="Titillium Web" w:eastAsia="Times New Roman" w:cs="Times New Roman"/>
          <w:b/>
          <w:bCs/>
          <w:sz w:val="24"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 w:val="24"/>
          <w:szCs w:val="24"/>
        </w:rPr>
        <w:t>2. ANALISI DELLE RISULTANZE EMERSE IN FASE DI CONTROLLO CON APPLICAZIONE DELLA RELATIVA CHECK-LIST</w:t>
      </w:r>
    </w:p>
    <w:p w:rsidRPr="002F194C" w:rsidR="005D79AC" w:rsidP="005D79AC" w:rsidRDefault="005D79AC" w14:paraId="56FFDD7C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hAnsi="Titillium Web" w:eastAsia="Times New Roman" w:cs="Times New Roman"/>
          <w:b/>
          <w:bCs/>
          <w:color w:val="000000" w:themeColor="text1"/>
          <w:sz w:val="24"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 w:val="24"/>
          <w:szCs w:val="24"/>
        </w:rPr>
        <w:t>2.1</w:t>
      </w:r>
      <w:r w:rsidRPr="002F194C">
        <w:rPr>
          <w:rFonts w:ascii="Titillium Web" w:hAnsi="Titillium Web" w:eastAsia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F194C">
        <w:rPr>
          <w:rStyle w:val="normaltextrun"/>
          <w:rFonts w:ascii="Titillium Web" w:hAnsi="Titillium Web" w:cs="Times New Roman"/>
          <w:i/>
          <w:iCs/>
          <w:color w:val="000000"/>
          <w:sz w:val="24"/>
          <w:szCs w:val="24"/>
          <w:bdr w:val="none" w:color="auto" w:sz="0" w:space="0" w:frame="1"/>
        </w:rPr>
        <w:t>[Inserire il titolo della sezione della Check List di verifica della procedura oggetto di controllo]</w:t>
      </w:r>
      <w:bookmarkStart w:name="_heading=h.h1ru25dib3eu" w:id="2"/>
      <w:bookmarkEnd w:id="2"/>
    </w:p>
    <w:tbl>
      <w:tblPr>
        <w:tblW w:w="8775" w:type="dxa"/>
        <w:jc w:val="center"/>
        <w:tbl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color="000000" w:themeColor="text1" w:sz="8" w:space="0"/>
          <w:insideV w:val="single" w:color="000000" w:themeColor="text1" w:sz="8" w:space="0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917"/>
        <w:gridCol w:w="1350"/>
        <w:gridCol w:w="1200"/>
        <w:gridCol w:w="1170"/>
        <w:gridCol w:w="900"/>
        <w:gridCol w:w="1830"/>
      </w:tblGrid>
      <w:tr w:rsidRPr="002F194C" w:rsidR="005D79AC" w:rsidTr="00457309" w14:paraId="0FBE0ECE" w14:textId="77777777">
        <w:trPr>
          <w:tblHeader/>
          <w:jc w:val="center"/>
        </w:trPr>
        <w:tc>
          <w:tcPr>
            <w:tcW w:w="1408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30E0C6B9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2F194C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 xml:space="preserve">Check </w:t>
            </w:r>
          </w:p>
        </w:tc>
        <w:tc>
          <w:tcPr>
            <w:tcW w:w="917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3A347788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2F194C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Positivo</w:t>
            </w:r>
          </w:p>
        </w:tc>
        <w:tc>
          <w:tcPr>
            <w:tcW w:w="135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09DA6B76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2F194C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Parzialmente positivo</w:t>
            </w:r>
          </w:p>
        </w:tc>
        <w:tc>
          <w:tcPr>
            <w:tcW w:w="120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1B59332F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2F194C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Negativo</w:t>
            </w:r>
          </w:p>
        </w:tc>
        <w:tc>
          <w:tcPr>
            <w:tcW w:w="117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480D5715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2F194C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Osservazioni</w:t>
            </w:r>
          </w:p>
        </w:tc>
        <w:tc>
          <w:tcPr>
            <w:tcW w:w="90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42D2A5A2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2F194C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Raccomandazioni</w:t>
            </w:r>
          </w:p>
        </w:tc>
        <w:tc>
          <w:tcPr>
            <w:tcW w:w="183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2F194C" w:rsidR="005D79AC" w:rsidP="00457309" w:rsidRDefault="005D79AC" w14:paraId="26290BFF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2F194C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Eventuale Follow up</w:t>
            </w:r>
          </w:p>
        </w:tc>
      </w:tr>
      <w:tr w:rsidRPr="002F194C" w:rsidR="005D79AC" w:rsidTr="00457309" w14:paraId="7DC75BF8" w14:textId="77777777">
        <w:trPr>
          <w:jc w:val="center"/>
        </w:trPr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094AAE29" w14:textId="77777777">
            <w:pPr>
              <w:pStyle w:val="Normal3"/>
              <w:widowControl w:val="0"/>
              <w:spacing w:after="0" w:line="240" w:lineRule="auto"/>
              <w:rPr>
                <w:rFonts w:ascii="Titillium Web" w:hAnsi="Titillium Web" w:eastAsia="Times New Roman" w:cs="Times New Roman"/>
                <w:b/>
                <w:bCs/>
              </w:rPr>
            </w:pPr>
            <w:r w:rsidRPr="002F194C">
              <w:rPr>
                <w:rFonts w:ascii="Titillium Web" w:hAnsi="Titillium Web" w:eastAsia="Times New Roman" w:cs="Times New Roman"/>
                <w:b/>
                <w:bCs/>
              </w:rPr>
              <w:t xml:space="preserve">Check A </w:t>
            </w:r>
            <w:r w:rsidRPr="002F194C">
              <w:rPr>
                <w:rStyle w:val="normaltextrun"/>
                <w:rFonts w:ascii="Titillium Web" w:hAnsi="Titillium Web" w:cs="Times New Roman"/>
                <w:i/>
                <w:iCs/>
                <w:color w:val="000000"/>
                <w:shd w:val="clear" w:color="auto" w:fill="FFFFFF"/>
              </w:rPr>
              <w:t>(Inserire il titolo della sezione della Check List di verifica della procedura oggetto di controllo)</w:t>
            </w:r>
          </w:p>
        </w:tc>
        <w:tc>
          <w:tcPr>
            <w:tcW w:w="9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11080CA6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7CDA0728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535174FA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770186CA" w14:textId="77777777">
            <w:pPr>
              <w:pStyle w:val="Normal3"/>
              <w:widowControl w:val="0"/>
              <w:spacing w:after="0"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109CE9C6" w14:textId="77777777">
            <w:pPr>
              <w:pStyle w:val="Normal3"/>
              <w:widowControl w:val="0"/>
              <w:spacing w:after="0" w:line="240" w:lineRule="auto"/>
              <w:jc w:val="both"/>
              <w:rPr>
                <w:rFonts w:ascii="Titillium Web" w:hAnsi="Titillium Web" w:eastAsia="Times New Roman" w:cs="Times New Roman"/>
                <w:highlight w:val="yellow"/>
              </w:rPr>
            </w:pP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6EC1041A" w14:textId="77777777">
            <w:pPr>
              <w:pStyle w:val="Normal3"/>
              <w:widowControl w:val="0"/>
              <w:spacing w:after="0" w:line="240" w:lineRule="auto"/>
              <w:rPr>
                <w:rFonts w:ascii="Titillium Web" w:hAnsi="Titillium Web" w:eastAsia="Times New Roman" w:cs="Times New Roman"/>
                <w:i/>
                <w:iCs/>
              </w:rPr>
            </w:pPr>
          </w:p>
        </w:tc>
      </w:tr>
    </w:tbl>
    <w:p w:rsidRPr="002F194C" w:rsidR="005D79AC" w:rsidP="005D79AC" w:rsidRDefault="005D79AC" w14:paraId="642022F7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Titillium Web" w:hAnsi="Titillium Web" w:eastAsia="Times New Roman" w:cs="Times New Roman"/>
        </w:rPr>
      </w:pPr>
    </w:p>
    <w:p w:rsidR="005D79AC" w:rsidP="55192EEE" w:rsidRDefault="005D79AC" w14:paraId="3FEA50E5" w14:textId="77777777">
      <w:pPr>
        <w:pStyle w:val="Normal3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256" w:lineRule="auto"/>
        <w:jc w:val="both"/>
        <w:rPr>
          <w:rFonts w:ascii="Titillium Web" w:hAnsi="Titillium Web" w:eastAsia="Times New Roman" w:cs="Times New Roman"/>
          <w:sz w:val="24"/>
          <w:szCs w:val="24"/>
        </w:rPr>
      </w:pPr>
      <w:r w:rsidRPr="55192EEE" w:rsidR="005D79AC">
        <w:rPr>
          <w:rStyle w:val="normaltextrun"/>
          <w:rFonts w:ascii="Titillium Web" w:hAnsi="Titillium Web" w:cs="Times New Roman"/>
          <w:i w:val="1"/>
          <w:iCs w:val="1"/>
          <w:color w:val="000000"/>
          <w:sz w:val="24"/>
          <w:szCs w:val="24"/>
          <w:shd w:val="clear" w:color="auto" w:fill="FFFFFF"/>
        </w:rPr>
        <w:t xml:space="preserve">[ripetere per ogni sezione della Check List di verifica della procedura oggetto di controllo avendo cura di inserire appositi sottoparagrafi: es. 2.2, </w:t>
      </w:r>
      <w:r w:rsidRPr="55192EEE" w:rsidR="005D79AC">
        <w:rPr>
          <w:rStyle w:val="normaltextrun"/>
          <w:rFonts w:ascii="Titillium Web" w:hAnsi="Titillium Web" w:cs="Times New Roman"/>
          <w:i w:val="1"/>
          <w:iCs w:val="1"/>
          <w:color w:val="000000"/>
          <w:sz w:val="24"/>
          <w:szCs w:val="24"/>
          <w:shd w:val="clear" w:color="auto" w:fill="FFFFFF"/>
        </w:rPr>
        <w:t>2.3….</w:t>
      </w:r>
      <w:r w:rsidRPr="55192EEE" w:rsidR="005D79AC">
        <w:rPr>
          <w:rStyle w:val="normaltextrun"/>
          <w:rFonts w:ascii="Titillium Web" w:hAnsi="Titillium Web" w:cs="Times New Roman"/>
          <w:i w:val="1"/>
          <w:iCs w:val="1"/>
          <w:color w:val="000000"/>
          <w:sz w:val="24"/>
          <w:szCs w:val="24"/>
          <w:shd w:val="clear" w:color="auto" w:fill="FFFFFF"/>
        </w:rPr>
        <w:t>]</w:t>
      </w:r>
      <w:r w:rsidRPr="002F194C" w:rsidR="005D79AC">
        <w:rPr>
          <w:rStyle w:val="eop"/>
          <w:rFonts w:ascii="Titillium Web" w:hAnsi="Titillium Web" w:cs="Times New Roman"/>
          <w:color w:val="000000"/>
          <w:sz w:val="24"/>
          <w:szCs w:val="24"/>
          <w:shd w:val="clear" w:color="auto" w:fill="FFFFFF"/>
        </w:rPr>
        <w:t> </w:t>
      </w:r>
    </w:p>
    <w:p w:rsidR="0FD86BEC" w:rsidP="55192EEE" w:rsidRDefault="0FD86BEC" w14:paraId="622AD82E" w14:textId="0F70A813">
      <w:pPr>
        <w:pStyle w:val="Normal3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256" w:lineRule="auto"/>
        <w:jc w:val="both"/>
        <w:rPr>
          <w:rStyle w:val="eop"/>
          <w:rFonts w:ascii="Titillium Web" w:hAnsi="Titillium Web" w:cs="Times New Roman"/>
          <w:color w:val="000000" w:themeColor="text1" w:themeTint="FF" w:themeShade="FF"/>
          <w:sz w:val="24"/>
          <w:szCs w:val="24"/>
        </w:rPr>
      </w:pPr>
    </w:p>
    <w:p w:rsidR="024572C1" w:rsidP="55192EEE" w:rsidRDefault="024572C1" w14:paraId="54486B34" w14:textId="43D1B9B4">
      <w:pPr>
        <w:spacing w:before="60" w:after="60" w:line="276" w:lineRule="auto"/>
        <w:ind w:left="-142" w:right="-188"/>
        <w:rPr>
          <w:rFonts w:ascii="Titillium Web" w:hAnsi="Titillium Web" w:eastAsia="Titillium Web" w:cs="Titillium Web"/>
          <w:b w:val="0"/>
          <w:bCs w:val="0"/>
          <w:i w:val="1"/>
          <w:iCs w:val="1"/>
          <w:caps w:val="0"/>
          <w:smallCaps w:val="0"/>
          <w:noProof w:val="0"/>
          <w:color w:val="auto"/>
          <w:sz w:val="24"/>
          <w:szCs w:val="24"/>
          <w:lang w:val="it-IT"/>
        </w:rPr>
      </w:pPr>
      <w:r w:rsidRPr="55192EEE" w:rsidR="024572C1">
        <w:rPr>
          <w:rFonts w:ascii="Titillium Web" w:hAnsi="Titillium Web" w:eastAsia="Titillium Web" w:cs="Titillium Web"/>
          <w:b w:val="0"/>
          <w:bCs w:val="0"/>
          <w:i w:val="1"/>
          <w:iCs w:val="1"/>
          <w:caps w:val="0"/>
          <w:smallCaps w:val="0"/>
          <w:noProof w:val="0"/>
          <w:color w:val="auto"/>
          <w:sz w:val="24"/>
          <w:szCs w:val="24"/>
          <w:lang w:val="it-IT"/>
        </w:rPr>
        <w:t>Inserire ove pertinente:</w:t>
      </w:r>
    </w:p>
    <w:p w:rsidR="024572C1" w:rsidP="55192EEE" w:rsidRDefault="024572C1" w14:paraId="2BCA5924" w14:textId="19652B85">
      <w:pPr>
        <w:spacing w:before="60" w:after="60" w:line="276" w:lineRule="auto"/>
        <w:ind w:left="-142" w:right="-188"/>
        <w:jc w:val="both"/>
        <w:rPr>
          <w:rFonts w:ascii="Titillium Web" w:hAnsi="Titillium Web" w:eastAsia="Titillium Web" w:cs="Titillium Web"/>
          <w:b w:val="0"/>
          <w:bCs w:val="0"/>
          <w:i w:val="1"/>
          <w:iCs w:val="1"/>
          <w:caps w:val="0"/>
          <w:smallCaps w:val="0"/>
          <w:noProof w:val="0"/>
          <w:color w:val="auto"/>
          <w:sz w:val="24"/>
          <w:szCs w:val="24"/>
          <w:lang w:val="it-IT"/>
        </w:rPr>
      </w:pPr>
      <w:r w:rsidRPr="55192EEE" w:rsidR="024572C1">
        <w:rPr>
          <w:rFonts w:ascii="Titillium Web" w:hAnsi="Titillium Web" w:eastAsia="Titillium Web" w:cs="Titillium Web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single"/>
          <w:lang w:val="it-IT"/>
        </w:rPr>
        <w:t>Con riferimento alle verifiche di cui al Check xx, si rappresenta che la piattaforma Arachne è stata dismessa in data 27/04/2026 e sostituita dalla piattaforma Arachne+ a far data dal 28/04/2026. Al fine di rispettare le tempistiche previste per la conclusione dei controlli sostanziali si è provveduto, ove necessario, ad effettuare le verifiche sul conflitto di interessi anche attraverso documentazione già in possesso dell’Amministrazione.</w:t>
      </w:r>
    </w:p>
    <w:p w:rsidR="0FD86BEC" w:rsidP="55192EEE" w:rsidRDefault="0FD86BEC" w14:paraId="7DEF6397" w14:textId="3739D0FE">
      <w:pPr>
        <w:spacing w:before="60" w:after="60" w:line="276" w:lineRule="auto"/>
        <w:ind w:left="-142" w:right="-188"/>
        <w:rPr>
          <w:rFonts w:ascii="Titillium Web" w:hAnsi="Titillium Web" w:eastAsia="Titillium Web" w:cs="Titillium Web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0FD86BEC" w:rsidP="0FD86BEC" w:rsidRDefault="0FD86BEC" w14:paraId="2D97986C" w14:textId="465196B8">
      <w:pPr>
        <w:pStyle w:val="Normal3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line="256" w:lineRule="auto"/>
        <w:jc w:val="both"/>
        <w:rPr>
          <w:rStyle w:val="eop"/>
          <w:rFonts w:ascii="Titillium Web" w:hAnsi="Titillium Web" w:cs="Times New Roman"/>
          <w:color w:val="000000" w:themeColor="text1" w:themeTint="FF" w:themeShade="FF"/>
          <w:sz w:val="24"/>
          <w:szCs w:val="24"/>
        </w:rPr>
      </w:pPr>
    </w:p>
    <w:p w:rsidRPr="002F194C" w:rsidR="005D79AC" w:rsidP="005D79AC" w:rsidRDefault="005D79AC" w14:paraId="1B2E4200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Titillium Web" w:hAnsi="Titillium Web" w:eastAsia="Times New Roman" w:cs="Times New Roman"/>
          <w:sz w:val="24"/>
          <w:szCs w:val="24"/>
        </w:rPr>
      </w:pPr>
    </w:p>
    <w:p w:rsidRPr="002F194C" w:rsidR="005D79AC" w:rsidP="005D79AC" w:rsidRDefault="005D79AC" w14:paraId="58A6C78D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hAnsi="Titillium Web" w:eastAsia="Times New Roman" w:cs="Times New Roman"/>
          <w:b/>
          <w:bCs/>
          <w:sz w:val="24"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 w:val="24"/>
          <w:szCs w:val="24"/>
        </w:rPr>
        <w:t>3. CONCLUSIONI COMPLESSIVE SULL’ATTIVITA’ DI CONTROLLO</w:t>
      </w:r>
    </w:p>
    <w:p w:rsidRPr="002F194C" w:rsidR="005D79AC" w:rsidP="005D79AC" w:rsidRDefault="005D79AC" w14:paraId="114245FD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hAnsi="Titillium Web" w:eastAsia="Times New Roman" w:cs="Times New Roman"/>
          <w:sz w:val="24"/>
          <w:szCs w:val="24"/>
        </w:rPr>
      </w:pPr>
      <w:r w:rsidRPr="002F194C">
        <w:rPr>
          <w:rFonts w:ascii="Titillium Web" w:hAnsi="Titillium Web" w:eastAsia="Times New Roman" w:cs="Times New Roman"/>
          <w:sz w:val="24"/>
          <w:szCs w:val="24"/>
        </w:rPr>
        <w:t>Le tabelle sottostanti riepilogano l’esito dei controlli effettuati, con indicazione degli eventuali follow-up.</w:t>
      </w:r>
    </w:p>
    <w:p w:rsidRPr="002F194C" w:rsidR="005D79AC" w:rsidP="005D79AC" w:rsidRDefault="005D79AC" w14:paraId="3683C59D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tillium Web" w:hAnsi="Titillium Web" w:eastAsia="Times New Roman" w:cs="Times New Roman"/>
          <w:sz w:val="24"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 w:val="24"/>
          <w:szCs w:val="24"/>
        </w:rPr>
        <w:t>3.1 Tabella riepilogativa in merito alla verifica sulla procedura</w:t>
      </w:r>
    </w:p>
    <w:tbl>
      <w:tblPr>
        <w:tblW w:w="9735" w:type="dxa"/>
        <w:jc w:val="center"/>
        <w:tbl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color="000000" w:themeColor="text1" w:sz="8" w:space="0"/>
          <w:insideV w:val="single" w:color="000000" w:themeColor="text1" w:sz="8" w:space="0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2490"/>
        <w:gridCol w:w="5610"/>
      </w:tblGrid>
      <w:tr w:rsidRPr="002F194C" w:rsidR="005D79AC" w:rsidTr="00457309" w14:paraId="4DBD696A" w14:textId="77777777">
        <w:trPr>
          <w:jc w:val="center"/>
        </w:trPr>
        <w:tc>
          <w:tcPr>
            <w:tcW w:w="163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7840F58B" w14:textId="77777777">
            <w:pPr>
              <w:pStyle w:val="Normal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2F194C">
              <w:rPr>
                <w:rFonts w:ascii="Titillium Web" w:hAnsi="Titillium Web" w:eastAsia="Times New Roman" w:cs="Times New Roman"/>
                <w:b/>
              </w:rPr>
              <w:t>Check</w:t>
            </w:r>
          </w:p>
        </w:tc>
        <w:tc>
          <w:tcPr>
            <w:tcW w:w="249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6F18C9B5" w14:textId="77777777">
            <w:pPr>
              <w:pStyle w:val="Normal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2F194C">
              <w:rPr>
                <w:rFonts w:ascii="Titillium Web" w:hAnsi="Titillium Web" w:eastAsia="Times New Roman" w:cs="Times New Roman"/>
                <w:b/>
              </w:rPr>
              <w:t>Report definitivo</w:t>
            </w:r>
          </w:p>
          <w:p w:rsidRPr="002F194C" w:rsidR="005D79AC" w:rsidP="00457309" w:rsidRDefault="005D79AC" w14:paraId="24FF1A78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2F194C">
              <w:rPr>
                <w:rFonts w:ascii="Titillium Web" w:hAnsi="Titillium Web" w:eastAsia="Times New Roman" w:cs="Times New Roman"/>
              </w:rPr>
              <w:t>(Esito positivo, parzialmente positivo</w:t>
            </w:r>
            <w:r w:rsidRPr="002F194C">
              <w:rPr>
                <w:rFonts w:ascii="Titillium Web" w:hAnsi="Titillium Web" w:eastAsia="Times New Roman" w:cs="Times New Roman"/>
              </w:rPr>
              <w:br/>
            </w:r>
            <w:r w:rsidRPr="002F194C">
              <w:rPr>
                <w:rFonts w:ascii="Titillium Web" w:hAnsi="Titillium Web" w:eastAsia="Times New Roman" w:cs="Times New Roman"/>
              </w:rPr>
              <w:t>o negativo)</w:t>
            </w:r>
          </w:p>
        </w:tc>
        <w:tc>
          <w:tcPr>
            <w:tcW w:w="561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69A72EDB" w14:textId="77777777">
            <w:pPr>
              <w:pStyle w:val="Normal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2F194C">
              <w:rPr>
                <w:rFonts w:ascii="Titillium Web" w:hAnsi="Titillium Web" w:eastAsia="Times New Roman" w:cs="Times New Roman"/>
                <w:b/>
              </w:rPr>
              <w:t>Follow-up</w:t>
            </w:r>
          </w:p>
        </w:tc>
      </w:tr>
      <w:tr w:rsidRPr="002F194C" w:rsidR="005D79AC" w:rsidTr="00457309" w14:paraId="7F1AE186" w14:textId="77777777">
        <w:trPr>
          <w:jc w:val="center"/>
        </w:trPr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7681E9E3" w14:textId="77777777">
            <w:pPr>
              <w:pStyle w:val="Normal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tillium Web" w:hAnsi="Titillium Web" w:eastAsia="Times New Roman" w:cs="Times New Roman"/>
              </w:rPr>
            </w:pPr>
            <w:r w:rsidRPr="002F194C">
              <w:rPr>
                <w:rFonts w:ascii="Titillium Web" w:hAnsi="Titillium Web" w:eastAsia="Times New Roman" w:cs="Times New Roman"/>
              </w:rPr>
              <w:t>Check A</w:t>
            </w:r>
          </w:p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70F69642" w14:textId="77777777">
            <w:pPr>
              <w:pStyle w:val="Normal3"/>
              <w:widowControl w:val="0"/>
              <w:spacing w:after="0"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5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3EEF584A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</w:tr>
      <w:tr w:rsidRPr="002F194C" w:rsidR="005D79AC" w:rsidTr="00457309" w14:paraId="083DF950" w14:textId="77777777">
        <w:trPr>
          <w:trHeight w:val="327"/>
          <w:jc w:val="center"/>
        </w:trPr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454ADF4B" w14:textId="77777777">
            <w:pPr>
              <w:pStyle w:val="Normal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tillium Web" w:hAnsi="Titillium Web" w:eastAsia="Times New Roman" w:cs="Times New Roman"/>
              </w:rPr>
            </w:pPr>
            <w:r w:rsidRPr="002F194C">
              <w:rPr>
                <w:rFonts w:ascii="Titillium Web" w:hAnsi="Titillium Web" w:eastAsia="Times New Roman" w:cs="Times New Roman"/>
              </w:rPr>
              <w:t>Check B</w:t>
            </w:r>
          </w:p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6465259F" w14:textId="77777777">
            <w:pPr>
              <w:pStyle w:val="Normal3"/>
              <w:widowControl w:val="0"/>
              <w:spacing w:after="0"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5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17613BC0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</w:tr>
      <w:tr w:rsidRPr="002F194C" w:rsidR="005D79AC" w:rsidTr="00457309" w14:paraId="3ECE0C2E" w14:textId="77777777">
        <w:trPr>
          <w:jc w:val="center"/>
        </w:trPr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4C922D41" w14:textId="77777777">
            <w:pPr>
              <w:pStyle w:val="Normal3"/>
              <w:widowControl w:val="0"/>
              <w:spacing w:after="0" w:line="240" w:lineRule="auto"/>
              <w:rPr>
                <w:rFonts w:ascii="Titillium Web" w:hAnsi="Titillium Web" w:eastAsia="Times New Roman" w:cs="Times New Roman"/>
              </w:rPr>
            </w:pPr>
            <w:r w:rsidRPr="002F194C">
              <w:rPr>
                <w:rFonts w:ascii="Titillium Web" w:hAnsi="Titillium Web" w:eastAsia="Times New Roman" w:cs="Times New Roman"/>
              </w:rPr>
              <w:t>Check C</w:t>
            </w:r>
          </w:p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1EDF037D" w14:textId="77777777">
            <w:pPr>
              <w:pStyle w:val="Normal3"/>
              <w:widowControl w:val="0"/>
              <w:spacing w:after="0"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5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6C9582F6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</w:tr>
      <w:tr w:rsidRPr="002F194C" w:rsidR="005D79AC" w:rsidTr="00457309" w14:paraId="511DD203" w14:textId="77777777">
        <w:trPr>
          <w:jc w:val="center"/>
        </w:trPr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01B62173" w14:textId="77777777">
            <w:pPr>
              <w:pStyle w:val="Normal3"/>
              <w:widowControl w:val="0"/>
              <w:spacing w:after="0" w:line="240" w:lineRule="auto"/>
              <w:rPr>
                <w:rFonts w:ascii="Titillium Web" w:hAnsi="Titillium Web" w:eastAsia="Times New Roman" w:cs="Times New Roman"/>
              </w:rPr>
            </w:pPr>
            <w:r w:rsidRPr="002F194C">
              <w:rPr>
                <w:rFonts w:ascii="Titillium Web" w:hAnsi="Titillium Web" w:eastAsia="Times New Roman" w:cs="Times New Roman"/>
              </w:rPr>
              <w:t>Check D</w:t>
            </w:r>
          </w:p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432DD8FF" w14:textId="77777777">
            <w:pPr>
              <w:pStyle w:val="Normal3"/>
              <w:widowControl w:val="0"/>
              <w:spacing w:after="0"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5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50EA8C86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</w:tr>
      <w:tr w:rsidRPr="002F194C" w:rsidR="005D79AC" w:rsidTr="00457309" w14:paraId="781656D0" w14:textId="77777777">
        <w:trPr>
          <w:jc w:val="center"/>
        </w:trPr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000E950F" w14:textId="77777777">
            <w:pPr>
              <w:pStyle w:val="Normal3"/>
              <w:widowControl w:val="0"/>
              <w:spacing w:after="0" w:line="240" w:lineRule="auto"/>
              <w:rPr>
                <w:rFonts w:ascii="Titillium Web" w:hAnsi="Titillium Web" w:eastAsia="Times New Roman" w:cs="Times New Roman"/>
              </w:rPr>
            </w:pPr>
            <w:r w:rsidRPr="002F194C">
              <w:rPr>
                <w:rFonts w:ascii="Titillium Web" w:hAnsi="Titillium Web" w:eastAsia="Times New Roman" w:cs="Times New Roman"/>
              </w:rPr>
              <w:t>Check E</w:t>
            </w:r>
          </w:p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4A791D5E" w14:textId="77777777">
            <w:pPr>
              <w:pStyle w:val="Normal3"/>
              <w:widowControl w:val="0"/>
              <w:spacing w:after="0"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5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5D79AC" w:rsidP="00457309" w:rsidRDefault="005D79AC" w14:paraId="23686C7A" w14:textId="77777777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</w:tr>
    </w:tbl>
    <w:p w:rsidRPr="002F194C" w:rsidR="005D79AC" w:rsidP="005D79AC" w:rsidRDefault="005D79AC" w14:paraId="0C0D693E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tillium Web" w:hAnsi="Titillium Web" w:eastAsia="Times New Roman" w:cs="Times New Roman"/>
        </w:rPr>
      </w:pPr>
    </w:p>
    <w:p w:rsidR="005D79AC" w:rsidP="005D79AC" w:rsidRDefault="005D79AC" w14:paraId="798B36C7" w14:textId="77777777">
      <w:pPr>
        <w:rPr>
          <w:rFonts w:ascii="Titillium Web" w:hAnsi="Titillium Web" w:cs="Times New Roman"/>
        </w:rPr>
      </w:pPr>
      <w:r w:rsidRPr="439E601E">
        <w:rPr>
          <w:rFonts w:ascii="Titillium Web" w:hAnsi="Titillium Web" w:cs="Times New Roman"/>
        </w:rPr>
        <w:t>Raccomandazioni:</w:t>
      </w:r>
    </w:p>
    <w:p w:rsidR="005D79AC" w:rsidP="005D79AC" w:rsidRDefault="005D79AC" w14:paraId="6CC16687" w14:textId="77777777">
      <w:pPr>
        <w:rPr>
          <w:rFonts w:ascii="Titillium Web" w:hAnsi="Titillium Web" w:cs="Times New Roman"/>
        </w:rPr>
      </w:pPr>
    </w:p>
    <w:p w:rsidRPr="002F194C" w:rsidR="005D79AC" w:rsidP="005D79AC" w:rsidRDefault="005D79AC" w14:paraId="52873B02" w14:textId="77777777">
      <w:pPr>
        <w:pStyle w:val="Normal3"/>
        <w:spacing w:line="276" w:lineRule="auto"/>
        <w:rPr>
          <w:rFonts w:ascii="Titillium Web" w:hAnsi="Titillium Web" w:eastAsia="Times New Roman" w:cs="Times New Roman"/>
          <w:sz w:val="24"/>
          <w:szCs w:val="24"/>
          <w:highlight w:val="yellow"/>
        </w:rPr>
      </w:pPr>
      <w:r w:rsidRPr="002F194C">
        <w:rPr>
          <w:rFonts w:ascii="Titillium Web" w:hAnsi="Titillium Web" w:eastAsia="Times New Roman" w:cs="Times New Roman"/>
          <w:sz w:val="24"/>
          <w:szCs w:val="24"/>
        </w:rPr>
        <w:t xml:space="preserve">Roma, </w:t>
      </w:r>
      <w:r w:rsidRPr="002F194C">
        <w:rPr>
          <w:rFonts w:ascii="Titillium Web" w:hAnsi="Titillium Web" w:eastAsia="Times New Roman" w:cs="Times New Roman"/>
          <w:sz w:val="24"/>
          <w:szCs w:val="24"/>
        </w:rPr>
        <w:tab/>
      </w:r>
      <w:r w:rsidRPr="002F194C">
        <w:rPr>
          <w:rFonts w:ascii="Titillium Web" w:hAnsi="Titillium Web" w:eastAsia="Times New Roman" w:cs="Times New Roman"/>
          <w:sz w:val="24"/>
          <w:szCs w:val="24"/>
        </w:rPr>
        <w:tab/>
      </w:r>
      <w:r w:rsidRPr="002F194C">
        <w:rPr>
          <w:rFonts w:ascii="Titillium Web" w:hAnsi="Titillium Web" w:eastAsia="Times New Roman" w:cs="Times New Roman"/>
          <w:sz w:val="24"/>
          <w:szCs w:val="24"/>
        </w:rPr>
        <w:tab/>
      </w:r>
      <w:r w:rsidRPr="002F194C">
        <w:rPr>
          <w:rFonts w:ascii="Titillium Web" w:hAnsi="Titillium Web" w:eastAsia="Times New Roman" w:cs="Times New Roman"/>
          <w:sz w:val="24"/>
          <w:szCs w:val="24"/>
        </w:rPr>
        <w:tab/>
      </w:r>
      <w:r w:rsidRPr="002F194C">
        <w:rPr>
          <w:rFonts w:ascii="Titillium Web" w:hAnsi="Titillium Web" w:eastAsia="Times New Roman" w:cs="Times New Roman"/>
          <w:sz w:val="24"/>
          <w:szCs w:val="24"/>
        </w:rPr>
        <w:tab/>
      </w:r>
      <w:r w:rsidRPr="002F194C">
        <w:rPr>
          <w:rFonts w:ascii="Titillium Web" w:hAnsi="Titillium Web" w:eastAsia="Times New Roman" w:cs="Times New Roman"/>
          <w:sz w:val="24"/>
          <w:szCs w:val="24"/>
        </w:rPr>
        <w:tab/>
      </w:r>
      <w:r w:rsidRPr="002F194C">
        <w:rPr>
          <w:rFonts w:ascii="Titillium Web" w:hAnsi="Titillium Web" w:eastAsia="Times New Roman" w:cs="Times New Roman"/>
          <w:sz w:val="24"/>
          <w:szCs w:val="24"/>
        </w:rPr>
        <w:tab/>
      </w:r>
      <w:r w:rsidRPr="002F194C">
        <w:rPr>
          <w:rFonts w:ascii="Titillium Web" w:hAnsi="Titillium Web" w:eastAsia="Times New Roman" w:cs="Times New Roman"/>
          <w:sz w:val="24"/>
          <w:szCs w:val="24"/>
        </w:rPr>
        <w:tab/>
      </w:r>
      <w:r w:rsidRPr="002F194C">
        <w:rPr>
          <w:rFonts w:ascii="Titillium Web" w:hAnsi="Titillium Web" w:eastAsia="Times New Roman" w:cs="Times New Roman"/>
          <w:sz w:val="24"/>
          <w:szCs w:val="24"/>
        </w:rPr>
        <w:tab/>
      </w:r>
      <w:r w:rsidRPr="002F194C">
        <w:rPr>
          <w:rFonts w:ascii="Titillium Web" w:hAnsi="Titillium Web" w:eastAsia="Times New Roman" w:cs="Times New Roman"/>
          <w:sz w:val="24"/>
          <w:szCs w:val="24"/>
        </w:rPr>
        <w:tab/>
      </w:r>
      <w:r w:rsidRPr="002F194C">
        <w:rPr>
          <w:rFonts w:ascii="Titillium Web" w:hAnsi="Titillium Web" w:eastAsia="Times New Roman" w:cs="Times New Roman"/>
          <w:sz w:val="24"/>
          <w:szCs w:val="24"/>
        </w:rPr>
        <w:tab/>
      </w:r>
      <w:r w:rsidRPr="002F194C">
        <w:rPr>
          <w:rFonts w:ascii="Titillium Web" w:hAnsi="Titillium Web" w:eastAsia="Times New Roman" w:cs="Times New Roman"/>
          <w:sz w:val="24"/>
          <w:szCs w:val="24"/>
        </w:rPr>
        <w:t>Firma</w:t>
      </w:r>
    </w:p>
    <w:p w:rsidRPr="005D79AC" w:rsidR="00F54FA5" w:rsidP="005D79AC" w:rsidRDefault="00F54FA5" w14:paraId="43EBD175" w14:textId="2CB19AFA"/>
    <w:sectPr w:rsidRPr="005D79AC" w:rsidR="00F54FA5">
      <w:headerReference w:type="default" r:id="rId10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30256" w:rsidP="0090187D" w:rsidRDefault="00330256" w14:paraId="73E0F09E" w14:textId="77777777">
      <w:pPr>
        <w:spacing w:before="0" w:after="0" w:line="240" w:lineRule="auto"/>
      </w:pPr>
      <w:r>
        <w:separator/>
      </w:r>
    </w:p>
  </w:endnote>
  <w:endnote w:type="continuationSeparator" w:id="0">
    <w:p w:rsidR="00330256" w:rsidP="0090187D" w:rsidRDefault="00330256" w14:paraId="038CEA51" w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30256" w:rsidP="0090187D" w:rsidRDefault="00330256" w14:paraId="49B44B60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330256" w:rsidP="0090187D" w:rsidRDefault="00330256" w14:paraId="6D534A9F" w14:textId="7777777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90187D" w:rsidTr="00457309" w14:paraId="7047EDF9" w14:textId="77777777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90187D" w:rsidP="0090187D" w:rsidRDefault="0090187D" w14:paraId="37BCE470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4A74D6C" wp14:editId="7151E67F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90187D" w:rsidP="0090187D" w:rsidRDefault="0090187D" w14:paraId="649463E8" w14:textId="77777777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E04942A" wp14:editId="40B4FD0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90187D" w:rsidP="0090187D" w:rsidRDefault="0090187D" w14:paraId="2BC99AE4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7A5BD36D" wp14:editId="2FCAED4B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90187D" w:rsidRDefault="0090187D" w14:paraId="31268534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3550"/>
    <w:multiLevelType w:val="hybridMultilevel"/>
    <w:tmpl w:val="7BCCDD08"/>
    <w:lvl w:ilvl="0" w:tplc="E9666D6A">
      <w:numFmt w:val="bullet"/>
      <w:lvlText w:val="●"/>
      <w:lvlJc w:val="left"/>
      <w:pPr>
        <w:ind w:left="720" w:hanging="360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DD63C4E">
      <w:numFmt w:val="bullet"/>
      <w:lvlText w:val="•"/>
      <w:lvlJc w:val="left"/>
      <w:pPr>
        <w:ind w:left="1810" w:hanging="730"/>
      </w:pPr>
      <w:rPr>
        <w:rFonts w:hint="default" w:ascii="Calibri" w:hAnsi="Calibri" w:eastAsia="Times New Roman" w:cs="Calibri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8C232F"/>
    <w:multiLevelType w:val="multilevel"/>
    <w:tmpl w:val="1AB29A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color w:val="00000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24FE4"/>
    <w:multiLevelType w:val="multilevel"/>
    <w:tmpl w:val="CA387076"/>
    <w:lvl w:ilvl="0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E385D4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  <w:color w:val="000000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5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F61121"/>
    <w:multiLevelType w:val="hybridMultilevel"/>
    <w:tmpl w:val="5688F28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B96000D"/>
    <w:multiLevelType w:val="hybridMultilevel"/>
    <w:tmpl w:val="268C23C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4A50017"/>
    <w:multiLevelType w:val="hybridMultilevel"/>
    <w:tmpl w:val="BB261D3E"/>
    <w:lvl w:ilvl="0" w:tplc="8362BF7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A1FCE5EE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84D09468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F50C6C76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4472344C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9EC0CECC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0BC00F7E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9B9C34EC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B166100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0044BFF"/>
    <w:multiLevelType w:val="hybridMultilevel"/>
    <w:tmpl w:val="5F72F31C"/>
    <w:lvl w:ilvl="0" w:tplc="041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1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364A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BEB3CC4"/>
    <w:multiLevelType w:val="multilevel"/>
    <w:tmpl w:val="F1E0A21A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 w:eastAsia="Noto Sans" w:cs="Noto San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 w:eastAsia="Noto Sans" w:cs="Noto Sans"/>
      </w:rPr>
    </w:lvl>
    <w:lvl w:ilvl="3">
      <w:start w:val="1"/>
      <w:numFmt w:val="bullet"/>
      <w:lvlText w:val="➢"/>
      <w:lvlJc w:val="left"/>
      <w:pPr>
        <w:ind w:left="2880" w:hanging="360"/>
      </w:pPr>
      <w:rPr>
        <w:rFonts w:ascii="Noto Sans" w:hAnsi="Noto Sans" w:eastAsia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 w:eastAsia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hAnsi="Noto Sans" w:eastAsia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 w:eastAsia="Noto Sans" w:cs="Noto Sans"/>
      </w:rPr>
    </w:lvl>
  </w:abstractNum>
  <w:num w:numId="1" w16cid:durableId="1840996145">
    <w:abstractNumId w:val="5"/>
  </w:num>
  <w:num w:numId="2" w16cid:durableId="879316164">
    <w:abstractNumId w:val="7"/>
  </w:num>
  <w:num w:numId="3" w16cid:durableId="1421948334">
    <w:abstractNumId w:val="11"/>
  </w:num>
  <w:num w:numId="4" w16cid:durableId="574125400">
    <w:abstractNumId w:val="2"/>
  </w:num>
  <w:num w:numId="5" w16cid:durableId="176507420">
    <w:abstractNumId w:val="1"/>
  </w:num>
  <w:num w:numId="6" w16cid:durableId="1482426547">
    <w:abstractNumId w:val="10"/>
  </w:num>
  <w:num w:numId="7" w16cid:durableId="1309048496">
    <w:abstractNumId w:val="4"/>
  </w:num>
  <w:num w:numId="8" w16cid:durableId="354575178">
    <w:abstractNumId w:val="3"/>
  </w:num>
  <w:num w:numId="9" w16cid:durableId="231354936">
    <w:abstractNumId w:val="8"/>
  </w:num>
  <w:num w:numId="10" w16cid:durableId="207963008">
    <w:abstractNumId w:val="13"/>
  </w:num>
  <w:num w:numId="11" w16cid:durableId="1010133646">
    <w:abstractNumId w:val="9"/>
  </w:num>
  <w:num w:numId="12" w16cid:durableId="1575705756">
    <w:abstractNumId w:val="0"/>
  </w:num>
  <w:num w:numId="13" w16cid:durableId="1162693876">
    <w:abstractNumId w:val="12"/>
  </w:num>
  <w:num w:numId="14" w16cid:durableId="1590775136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0D076E"/>
    <w:rsid w:val="00152A86"/>
    <w:rsid w:val="00182272"/>
    <w:rsid w:val="002A12FF"/>
    <w:rsid w:val="002E348A"/>
    <w:rsid w:val="00330256"/>
    <w:rsid w:val="003D7B72"/>
    <w:rsid w:val="00431668"/>
    <w:rsid w:val="00567DAB"/>
    <w:rsid w:val="00575CCF"/>
    <w:rsid w:val="005D79AC"/>
    <w:rsid w:val="005E4277"/>
    <w:rsid w:val="00710A9C"/>
    <w:rsid w:val="007324FF"/>
    <w:rsid w:val="0076774A"/>
    <w:rsid w:val="008F2112"/>
    <w:rsid w:val="0090187D"/>
    <w:rsid w:val="00982676"/>
    <w:rsid w:val="009B3B88"/>
    <w:rsid w:val="00A22C5F"/>
    <w:rsid w:val="00BC29E7"/>
    <w:rsid w:val="00D9365B"/>
    <w:rsid w:val="00EB1302"/>
    <w:rsid w:val="00F14A35"/>
    <w:rsid w:val="00F45E6F"/>
    <w:rsid w:val="00F54FA5"/>
    <w:rsid w:val="024572C1"/>
    <w:rsid w:val="0FD86BEC"/>
    <w:rsid w:val="1737704A"/>
    <w:rsid w:val="55192EEE"/>
    <w:rsid w:val="6A6F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9B92EB1A-F701-A24C-BBE8-B0BD6DCB55E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D9365B"/>
    <w:pPr>
      <w:spacing w:before="60" w:after="60" w:line="276" w:lineRule="auto"/>
    </w:pPr>
    <w:rPr>
      <w:rFonts w:ascii="Calibri" w:hAnsi="Calibri" w:eastAsia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hAnsiTheme="minorHAnsi" w:eastAsia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styleId="Titolo1Carattere" w:customStyle="1">
    <w:name w:val="Titolo 1 Carattere"/>
    <w:basedOn w:val="Carpredefinitoparagrafo"/>
    <w:link w:val="Titolo1"/>
    <w:uiPriority w:val="9"/>
    <w:rsid w:val="00A22C5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D9365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D9365B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D9365B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D9365B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D9365B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D9365B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D9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365B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D9365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36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D9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365B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D9365B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D9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9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365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D9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styleId="ParagrafoelencoCarattere" w:customStyle="1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9365B"/>
  </w:style>
  <w:style w:type="character" w:styleId="normaltextrun" w:customStyle="1">
    <w:name w:val="normaltextrun"/>
    <w:basedOn w:val="Carpredefinitoparagrafo"/>
    <w:rsid w:val="00D9365B"/>
  </w:style>
  <w:style w:type="paragraph" w:styleId="Revisione">
    <w:name w:val="Revision"/>
    <w:hidden/>
    <w:uiPriority w:val="99"/>
    <w:semiHidden/>
    <w:rsid w:val="00D9365B"/>
    <w:rPr>
      <w:rFonts w:ascii="Calibri" w:hAnsi="Calibri" w:eastAsia="Calibri" w:cs="Calibri"/>
      <w:kern w:val="0"/>
      <w:szCs w:val="22"/>
      <w:lang w:eastAsia="en-GB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90187D"/>
    <w:rPr>
      <w:rFonts w:ascii="Calibri" w:hAnsi="Calibri" w:eastAsia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90187D"/>
    <w:rPr>
      <w:rFonts w:ascii="Calibri" w:hAnsi="Calibri" w:eastAsia="Calibri" w:cs="Calibri"/>
      <w:kern w:val="0"/>
      <w:szCs w:val="22"/>
      <w:lang w:eastAsia="en-GB"/>
      <w14:ligatures w14:val="none"/>
    </w:rPr>
  </w:style>
  <w:style w:type="character" w:styleId="eop" w:customStyle="1">
    <w:name w:val="eop"/>
    <w:basedOn w:val="Carpredefinitoparagrafo"/>
    <w:rsid w:val="00F54FA5"/>
  </w:style>
  <w:style w:type="paragraph" w:styleId="paragraph" w:customStyle="1">
    <w:name w:val="paragraph"/>
    <w:basedOn w:val="Normale"/>
    <w:rsid w:val="00F54FA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Cs w:val="24"/>
      <w:lang w:eastAsia="it-IT"/>
    </w:rPr>
  </w:style>
  <w:style w:type="paragraph" w:styleId="Normal3" w:customStyle="1">
    <w:name w:val="Normal3"/>
    <w:qFormat/>
    <w:rsid w:val="00982676"/>
    <w:pPr>
      <w:spacing w:after="160" w:line="259" w:lineRule="auto"/>
    </w:pPr>
    <w:rPr>
      <w:rFonts w:ascii="Calibri" w:hAnsi="Calibri" w:eastAsia="Calibri" w:cs="Calibri"/>
      <w:kern w:val="0"/>
      <w:sz w:val="22"/>
      <w:szCs w:val="22"/>
      <w:lang w:eastAsia="ja-JP"/>
      <w14:ligatures w14:val="none"/>
    </w:rPr>
  </w:style>
  <w:style w:type="table" w:styleId="TableNormal1" w:customStyle="1">
    <w:name w:val="Table Normal1"/>
    <w:qFormat/>
    <w:rsid w:val="00182272"/>
    <w:pPr>
      <w:spacing w:after="160" w:line="259" w:lineRule="auto"/>
    </w:pPr>
    <w:rPr>
      <w:rFonts w:ascii="Calibri" w:hAnsi="Calibri" w:eastAsia="Calibri" w:cs="Calibri"/>
      <w:kern w:val="0"/>
      <w:sz w:val="22"/>
      <w:szCs w:val="22"/>
      <w:lang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e"/>
    <w:uiPriority w:val="1"/>
    <w:qFormat/>
    <w:rsid w:val="00182272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93C3D2-5801-4361-87C8-A05F145306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FA8717-D0A9-4CD4-BF86-D7A0D66696EB}">
  <ds:schemaRefs>
    <ds:schemaRef ds:uri="http://schemas.microsoft.com/office/2006/documentManagement/types"/>
    <ds:schemaRef ds:uri="5d1e3cc2-08c9-440d-b9ab-501debfd4472"/>
    <ds:schemaRef ds:uri="http://www.w3.org/XML/1998/namespace"/>
    <ds:schemaRef ds:uri="933496a0-6cc8-49a5-8dc6-985437aa9095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F536D08-43E8-4433-A717-8B0FE24B3C7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Giuliano Montelucci</dc:creator>
  <keywords/>
  <dc:description/>
  <lastModifiedBy>Marco Battistella</lastModifiedBy>
  <revision>7</revision>
  <dcterms:created xsi:type="dcterms:W3CDTF">2026-04-07T12:24:00.0000000Z</dcterms:created>
  <dcterms:modified xsi:type="dcterms:W3CDTF">2026-08-03T15:27:26.9750614Z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  <property fmtid="{D5CDD505-2E9C-101B-9397-08002B2CF9AE}" pid="12" name="Order">
    <vt:r8>36233700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